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نظام مركزي لإدارة شبكة مدارس</w:t>
      </w:r>
    </w:p>
    <w:p>
      <w:pPr>
        <w:spacing w:after="320" w:line="288" w:lineRule="auto"/>
        <w:jc w:val="right"/>
        <w:bidi w:val="1"/>
      </w:pPr>
      <w:r>
        <w:rPr>
          <w:rFonts w:ascii="Arial" w:hAnsi="Arial" w:eastAsia="Arial" w:cs="Arial"/>
          <w:b/>
          <w:color w:val="0F7C86"/>
          <w:sz w:val="26"/>
          <w:rtl w:val="1"/>
        </w:rPr>
        <w:t>كل فروعك التعليمية… رؤية واحدة وقرار واحد.</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التعليم والتدريب</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125,000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1</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منصة مركزية تمنح الإدارة العليا تقارير موحدة، مع لوحات مستقلة لكل فرع لإدارة الطلاب والموظفين والمصروفات والأداء. صُمم الحل ليعالج مباشرةً مشكلة اختلاف الأداء وصعوبة متابعة عدة فروع من إدارة مركزية.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إدارة متعددة الفروع</w:t>
      </w:r>
    </w:p>
    <w:p>
      <w:pPr>
        <w:spacing w:after="80" w:line="290" w:lineRule="auto"/>
        <w:jc w:val="right"/>
        <w:bidi w:val="1"/>
        <w:numPr>
          <w:ilvl w:val="0"/>
          <w:numId w:val="10"/>
        </w:numPr>
      </w:pPr>
      <w:r>
        <w:rPr>
          <w:rFonts w:ascii="Arial" w:hAnsi="Arial" w:eastAsia="Arial" w:cs="Arial"/>
          <w:color w:val="143044"/>
          <w:sz w:val="22"/>
          <w:rtl w:val="1"/>
        </w:rPr>
        <w:t>تقارير مركزية مقارنة</w:t>
      </w:r>
    </w:p>
    <w:p>
      <w:pPr>
        <w:spacing w:after="80" w:line="290" w:lineRule="auto"/>
        <w:jc w:val="right"/>
        <w:bidi w:val="1"/>
        <w:numPr>
          <w:ilvl w:val="0"/>
          <w:numId w:val="10"/>
        </w:numPr>
      </w:pPr>
      <w:r>
        <w:rPr>
          <w:rFonts w:ascii="Arial" w:hAnsi="Arial" w:eastAsia="Arial" w:cs="Arial"/>
          <w:color w:val="143044"/>
          <w:sz w:val="22"/>
          <w:rtl w:val="1"/>
        </w:rPr>
        <w:t>صلاحيات مستقلة لكل مدرسة</w:t>
      </w:r>
    </w:p>
    <w:p>
      <w:pPr>
        <w:spacing w:after="80" w:line="290" w:lineRule="auto"/>
        <w:jc w:val="right"/>
        <w:bidi w:val="1"/>
        <w:numPr>
          <w:ilvl w:val="0"/>
          <w:numId w:val="10"/>
        </w:numPr>
      </w:pPr>
      <w:r>
        <w:rPr>
          <w:rFonts w:ascii="Arial" w:hAnsi="Arial" w:eastAsia="Arial" w:cs="Arial"/>
          <w:color w:val="143044"/>
          <w:sz w:val="22"/>
          <w:rtl w:val="1"/>
        </w:rPr>
        <w:t>لوحة مركزية لمتابعة جميع المدارس والفروع</w:t>
      </w:r>
    </w:p>
    <w:p>
      <w:pPr>
        <w:spacing w:after="80" w:line="290" w:lineRule="auto"/>
        <w:jc w:val="right"/>
        <w:bidi w:val="1"/>
        <w:numPr>
          <w:ilvl w:val="0"/>
          <w:numId w:val="10"/>
        </w:numPr>
      </w:pPr>
      <w:r>
        <w:rPr>
          <w:rFonts w:ascii="Arial" w:hAnsi="Arial" w:eastAsia="Arial" w:cs="Arial"/>
          <w:color w:val="143044"/>
          <w:sz w:val="22"/>
          <w:rtl w:val="1"/>
        </w:rPr>
        <w:t>هيكل صلاحيات يفصل الإدارة العامة عن كل مدرسة</w:t>
      </w:r>
    </w:p>
    <w:p>
      <w:pPr>
        <w:spacing w:after="80" w:line="290" w:lineRule="auto"/>
        <w:jc w:val="right"/>
        <w:bidi w:val="1"/>
        <w:numPr>
          <w:ilvl w:val="0"/>
          <w:numId w:val="10"/>
        </w:numPr>
      </w:pPr>
      <w:r>
        <w:rPr>
          <w:rFonts w:ascii="Arial" w:hAnsi="Arial" w:eastAsia="Arial" w:cs="Arial"/>
          <w:color w:val="143044"/>
          <w:sz w:val="22"/>
          <w:rtl w:val="1"/>
        </w:rPr>
        <w:t>مقارنات أداء وأعداد ونتائج بين الفروع</w:t>
      </w:r>
    </w:p>
    <w:p>
      <w:pPr>
        <w:spacing w:after="80" w:line="290" w:lineRule="auto"/>
        <w:jc w:val="right"/>
        <w:bidi w:val="1"/>
        <w:numPr>
          <w:ilvl w:val="0"/>
          <w:numId w:val="10"/>
        </w:numPr>
      </w:pPr>
      <w:r>
        <w:rPr>
          <w:rFonts w:ascii="Arial" w:hAnsi="Arial" w:eastAsia="Arial" w:cs="Arial"/>
          <w:color w:val="143044"/>
          <w:sz w:val="22"/>
          <w:rtl w:val="1"/>
        </w:rPr>
        <w:t>إعدادات مشتركة مع مرونة تشغيل محلية</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تنظيم تجربة التعلم أو الاستكشاف</w:t>
      </w:r>
    </w:p>
    <w:p>
      <w:pPr>
        <w:spacing w:after="80" w:line="290" w:lineRule="auto"/>
        <w:jc w:val="right"/>
        <w:bidi w:val="1"/>
        <w:numPr>
          <w:ilvl w:val="0"/>
          <w:numId w:val="10"/>
        </w:numPr>
      </w:pPr>
      <w:r>
        <w:rPr>
          <w:rFonts w:ascii="Arial" w:hAnsi="Arial" w:eastAsia="Arial" w:cs="Arial"/>
          <w:color w:val="143044"/>
          <w:sz w:val="22"/>
          <w:rtl w:val="1"/>
        </w:rPr>
        <w:t>تقليل الأعمال اليدوية في التسجيل والمتابعة</w:t>
      </w:r>
    </w:p>
    <w:p>
      <w:pPr>
        <w:spacing w:after="80" w:line="290" w:lineRule="auto"/>
        <w:jc w:val="right"/>
        <w:bidi w:val="1"/>
        <w:numPr>
          <w:ilvl w:val="0"/>
          <w:numId w:val="10"/>
        </w:numPr>
      </w:pPr>
      <w:r>
        <w:rPr>
          <w:rFonts w:ascii="Arial" w:hAnsi="Arial" w:eastAsia="Arial" w:cs="Arial"/>
          <w:color w:val="143044"/>
          <w:sz w:val="22"/>
          <w:rtl w:val="1"/>
        </w:rPr>
        <w:t>رفع تفاعل المتعلم وإتاحة تقارير أوضح</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سلسلة مدارس تحتاج لوحة مركزية</w:t>
      </w:r>
    </w:p>
    <w:p>
      <w:pPr>
        <w:spacing w:after="80" w:line="290" w:lineRule="auto"/>
        <w:jc w:val="right"/>
        <w:bidi w:val="1"/>
        <w:numPr>
          <w:ilvl w:val="0"/>
          <w:numId w:val="10"/>
        </w:numPr>
      </w:pPr>
      <w:r>
        <w:rPr>
          <w:rFonts w:ascii="Arial" w:hAnsi="Arial" w:eastAsia="Arial" w:cs="Arial"/>
          <w:color w:val="143044"/>
          <w:sz w:val="22"/>
          <w:rtl w:val="1"/>
        </w:rPr>
        <w:t>مؤسسة تعليمية تراقب أداء الفروع</w:t>
      </w:r>
    </w:p>
    <w:p>
      <w:pPr>
        <w:spacing w:after="80" w:line="290" w:lineRule="auto"/>
        <w:jc w:val="right"/>
        <w:bidi w:val="1"/>
        <w:numPr>
          <w:ilvl w:val="0"/>
          <w:numId w:val="10"/>
        </w:numPr>
      </w:pPr>
      <w:r>
        <w:rPr>
          <w:rFonts w:ascii="Arial" w:hAnsi="Arial" w:eastAsia="Arial" w:cs="Arial"/>
          <w:color w:val="143044"/>
          <w:sz w:val="22"/>
          <w:rtl w:val="1"/>
        </w:rPr>
        <w:t>إدارة عامة تفصل الصلاحيات بين المدارس</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School System (Multi School)</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125,000 جنيه مصري للترخيص الأساسي. ترخيص مؤسسي حسب عدد الفروع والطلاب.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2">
        <w:r>
          <w:rPr>
            <w:rFonts w:ascii="Arial" w:hAnsi="Arial" w:eastAsia="Arial" w:cs="Arial"/>
            <w:color w:val="C8932F"/>
            <w:b/>
            <w:u w:val="single"/>
            <w:rtl w:val="1"/>
          </w:rPr>
          <w:t>  شراء المنتج من المتجر</w:t>
        </w:r>
      </w:hyperlink>
    </w:p>
    <w:p>
      <w:pPr>
        <w:spacing w:after="160"/>
        <w:jc w:val="right"/>
        <w:bidi w:val="1"/>
      </w:pPr>
      <w:hyperlink r:id="rId13">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4">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نظام مركزي لإدارة شبكة مدارس</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myprojecttrainingdemo.alhekmalabs.net/" TargetMode="External"/><Relationship Id="rId12" Type="http://schemas.openxmlformats.org/officeDocument/2006/relationships/hyperlink" Target="https://arkanalhekma.com/checkout/school-network-management/" TargetMode="External"/><Relationship Id="rId13" Type="http://schemas.openxmlformats.org/officeDocument/2006/relationships/hyperlink" Target="https://arkanalhekma.com/product/school-network-management/" TargetMode="External"/><Relationship Id="rId14"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نظام مركزي لإدارة شبكة مدارس</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