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حجز الفعاليات والتذاكر</w:t>
      </w:r>
    </w:p>
    <w:p>
      <w:pPr>
        <w:spacing w:after="320" w:line="288" w:lineRule="auto"/>
        <w:jc w:val="right"/>
        <w:bidi w:val="1"/>
      </w:pPr>
      <w:r>
        <w:rPr>
          <w:rFonts w:ascii="Arial" w:hAnsi="Arial" w:eastAsia="Arial" w:cs="Arial"/>
          <w:b/>
          <w:color w:val="0F7C86"/>
          <w:sz w:val="26"/>
          <w:rtl w:val="1"/>
        </w:rPr>
        <w:t>من الإعلان إلى التذكرة… أدِر فعاليتك من مكان واحد.</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السياحة والفعاليات</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52,000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2</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متكاملة لنشر الفعاليات وحجز التذاكر والمقاعد وتأكيد الحضور وإرسال الإشعارات، لتجربة أكثر تنظيمًا واحترافًا. صُمم الحل ليعالج مباشرةً مشكلة فوضى التسجيل اليدوي وصعوبة متابعة الحضور والمدفوعات.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حجز وتذاكر إلكترونية</w:t>
      </w:r>
    </w:p>
    <w:p>
      <w:pPr>
        <w:spacing w:after="80" w:line="290" w:lineRule="auto"/>
        <w:jc w:val="right"/>
        <w:bidi w:val="1"/>
        <w:numPr>
          <w:ilvl w:val="0"/>
          <w:numId w:val="10"/>
        </w:numPr>
      </w:pPr>
      <w:r>
        <w:rPr>
          <w:rFonts w:ascii="Arial" w:hAnsi="Arial" w:eastAsia="Arial" w:cs="Arial"/>
          <w:color w:val="143044"/>
          <w:sz w:val="22"/>
          <w:rtl w:val="1"/>
        </w:rPr>
        <w:t>إدارة المقاعد والجداول</w:t>
      </w:r>
    </w:p>
    <w:p>
      <w:pPr>
        <w:spacing w:after="80" w:line="290" w:lineRule="auto"/>
        <w:jc w:val="right"/>
        <w:bidi w:val="1"/>
        <w:numPr>
          <w:ilvl w:val="0"/>
          <w:numId w:val="10"/>
        </w:numPr>
      </w:pPr>
      <w:r>
        <w:rPr>
          <w:rFonts w:ascii="Arial" w:hAnsi="Arial" w:eastAsia="Arial" w:cs="Arial"/>
          <w:color w:val="143044"/>
          <w:sz w:val="22"/>
          <w:rtl w:val="1"/>
        </w:rPr>
        <w:t>إشعارات وتقارير حضور</w:t>
      </w:r>
    </w:p>
    <w:p>
      <w:pPr>
        <w:spacing w:after="80" w:line="290" w:lineRule="auto"/>
        <w:jc w:val="right"/>
        <w:bidi w:val="1"/>
        <w:numPr>
          <w:ilvl w:val="0"/>
          <w:numId w:val="10"/>
        </w:numPr>
      </w:pPr>
      <w:r>
        <w:rPr>
          <w:rFonts w:ascii="Arial" w:hAnsi="Arial" w:eastAsia="Arial" w:cs="Arial"/>
          <w:color w:val="143044"/>
          <w:sz w:val="22"/>
          <w:rtl w:val="1"/>
        </w:rPr>
        <w:t>إنشاء الفعاليات والجلسات والمواعيد</w:t>
      </w:r>
    </w:p>
    <w:p>
      <w:pPr>
        <w:spacing w:after="80" w:line="290" w:lineRule="auto"/>
        <w:jc w:val="right"/>
        <w:bidi w:val="1"/>
        <w:numPr>
          <w:ilvl w:val="0"/>
          <w:numId w:val="10"/>
        </w:numPr>
      </w:pPr>
      <w:r>
        <w:rPr>
          <w:rFonts w:ascii="Arial" w:hAnsi="Arial" w:eastAsia="Arial" w:cs="Arial"/>
          <w:color w:val="143044"/>
          <w:sz w:val="22"/>
          <w:rtl w:val="1"/>
        </w:rPr>
        <w:t>حجز وتذاكر إلكترونية وتأكيد للحضور</w:t>
      </w:r>
    </w:p>
    <w:p>
      <w:pPr>
        <w:spacing w:after="80" w:line="290" w:lineRule="auto"/>
        <w:jc w:val="right"/>
        <w:bidi w:val="1"/>
        <w:numPr>
          <w:ilvl w:val="0"/>
          <w:numId w:val="10"/>
        </w:numPr>
      </w:pPr>
      <w:r>
        <w:rPr>
          <w:rFonts w:ascii="Arial" w:hAnsi="Arial" w:eastAsia="Arial" w:cs="Arial"/>
          <w:color w:val="143044"/>
          <w:sz w:val="22"/>
          <w:rtl w:val="1"/>
        </w:rPr>
        <w:t>إدارة المقاعد أو السعة وقوائم الانتظار</w:t>
      </w:r>
    </w:p>
    <w:p>
      <w:pPr>
        <w:spacing w:after="80" w:line="290" w:lineRule="auto"/>
        <w:jc w:val="right"/>
        <w:bidi w:val="1"/>
        <w:numPr>
          <w:ilvl w:val="0"/>
          <w:numId w:val="10"/>
        </w:numPr>
      </w:pPr>
      <w:r>
        <w:rPr>
          <w:rFonts w:ascii="Arial" w:hAnsi="Arial" w:eastAsia="Arial" w:cs="Arial"/>
          <w:color w:val="143044"/>
          <w:sz w:val="22"/>
          <w:rtl w:val="1"/>
        </w:rPr>
        <w:t>مسح التذاكر وتقارير الحضور بعد الفعالية</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زيادة الحجوزات المباشرة</w:t>
      </w:r>
    </w:p>
    <w:p>
      <w:pPr>
        <w:spacing w:after="80" w:line="290" w:lineRule="auto"/>
        <w:jc w:val="right"/>
        <w:bidi w:val="1"/>
        <w:numPr>
          <w:ilvl w:val="0"/>
          <w:numId w:val="10"/>
        </w:numPr>
      </w:pPr>
      <w:r>
        <w:rPr>
          <w:rFonts w:ascii="Arial" w:hAnsi="Arial" w:eastAsia="Arial" w:cs="Arial"/>
          <w:color w:val="143044"/>
          <w:sz w:val="22"/>
          <w:rtl w:val="1"/>
        </w:rPr>
        <w:t>تنظيم السعة والمواعيد والخدمات</w:t>
      </w:r>
    </w:p>
    <w:p>
      <w:pPr>
        <w:spacing w:after="80" w:line="290" w:lineRule="auto"/>
        <w:jc w:val="right"/>
        <w:bidi w:val="1"/>
        <w:numPr>
          <w:ilvl w:val="0"/>
          <w:numId w:val="10"/>
        </w:numPr>
      </w:pPr>
      <w:r>
        <w:rPr>
          <w:rFonts w:ascii="Arial" w:hAnsi="Arial" w:eastAsia="Arial" w:cs="Arial"/>
          <w:color w:val="143044"/>
          <w:sz w:val="22"/>
          <w:rtl w:val="1"/>
        </w:rPr>
        <w:t>تحسين تجربة الضيف قبل الخدمة وأثناءها</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منظم مؤتمر يبيع التذاكر ويتابع الحضور</w:t>
      </w:r>
    </w:p>
    <w:p>
      <w:pPr>
        <w:spacing w:after="80" w:line="290" w:lineRule="auto"/>
        <w:jc w:val="right"/>
        <w:bidi w:val="1"/>
        <w:numPr>
          <w:ilvl w:val="0"/>
          <w:numId w:val="10"/>
        </w:numPr>
      </w:pPr>
      <w:r>
        <w:rPr>
          <w:rFonts w:ascii="Arial" w:hAnsi="Arial" w:eastAsia="Arial" w:cs="Arial"/>
          <w:color w:val="143044"/>
          <w:sz w:val="22"/>
          <w:rtl w:val="1"/>
        </w:rPr>
        <w:t>مؤسسة تدير فعاليات بسعة محددة</w:t>
      </w:r>
    </w:p>
    <w:p>
      <w:pPr>
        <w:spacing w:after="80" w:line="290" w:lineRule="auto"/>
        <w:jc w:val="right"/>
        <w:bidi w:val="1"/>
        <w:numPr>
          <w:ilvl w:val="0"/>
          <w:numId w:val="10"/>
        </w:numPr>
      </w:pPr>
      <w:r>
        <w:rPr>
          <w:rFonts w:ascii="Arial" w:hAnsi="Arial" w:eastAsia="Arial" w:cs="Arial"/>
          <w:color w:val="143044"/>
          <w:sz w:val="22"/>
          <w:rtl w:val="1"/>
        </w:rPr>
        <w:t>مركز ثقافي ينشر جدول الأنشطة والحجوزات</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ASEU Events</w:t>
        </w:r>
      </w:hyperlink>
    </w:p>
    <w:p>
      <w:pPr>
        <w:spacing w:after="100"/>
        <w:jc w:val="right"/>
        <w:bidi w:val="1"/>
      </w:pPr>
      <w:hyperlink r:id="rId12">
        <w:r>
          <w:rPr>
            <w:rFonts w:ascii="Arial" w:hAnsi="Arial" w:eastAsia="Arial" w:cs="Arial"/>
            <w:color w:val="0F7C86"/>
            <w:b/>
            <w:u w:val="single"/>
            <w:rtl w:val="1"/>
          </w:rPr>
          <w:t>Event Reservation System</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52,000 جنيه مصري للترخيص الأساسي. ترخيص + رسوم تخصيص أو عمولة تشغيل.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3">
        <w:r>
          <w:rPr>
            <w:rFonts w:ascii="Arial" w:hAnsi="Arial" w:eastAsia="Arial" w:cs="Arial"/>
            <w:color w:val="C8932F"/>
            <w:b/>
            <w:u w:val="single"/>
            <w:rtl w:val="1"/>
          </w:rPr>
          <w:t>  شراء المنتج من المتجر</w:t>
        </w:r>
      </w:hyperlink>
    </w:p>
    <w:p>
      <w:pPr>
        <w:spacing w:after="160"/>
        <w:jc w:val="right"/>
        <w:bidi w:val="1"/>
      </w:pPr>
      <w:hyperlink r:id="rId14">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5">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حجز الفعاليات والتذاكر</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play.google.com/store/apps/details?id=com.alhekmalabs.aseuevents" TargetMode="External"/><Relationship Id="rId12" Type="http://schemas.openxmlformats.org/officeDocument/2006/relationships/hyperlink" Target="http://eventsapp.alhekmalabs.net/" TargetMode="External"/><Relationship Id="rId13" Type="http://schemas.openxmlformats.org/officeDocument/2006/relationships/hyperlink" Target="https://arkanalhekma.com/checkout/events-ticketing-system/" TargetMode="External"/><Relationship Id="rId14" Type="http://schemas.openxmlformats.org/officeDocument/2006/relationships/hyperlink" Target="https://arkanalhekma.com/product/events-ticketing-system/" TargetMode="External"/><Relationship Id="rId15"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حجز الفعاليات والتذاكر</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