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الموارد البشرية والإدارة المؤسسية</w:t>
      </w:r>
    </w:p>
    <w:p>
      <w:pPr>
        <w:spacing w:after="320" w:line="288" w:lineRule="auto"/>
        <w:jc w:val="right"/>
        <w:bidi w:val="1"/>
      </w:pPr>
      <w:r>
        <w:rPr>
          <w:rFonts w:ascii="Arial" w:hAnsi="Arial" w:eastAsia="Arial" w:cs="Arial"/>
          <w:b/>
          <w:color w:val="0F7C86"/>
          <w:sz w:val="26"/>
          <w:rtl w:val="1"/>
        </w:rPr>
        <w:t>قرارات أسرع تبدأ من بيانات موظفين منظمة.</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إدارة الأعمال والعملاء</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75,000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نظام رقمي لإدارة بيانات الموظفين والحضور والإجازات والرواتب والتقييمات والتقارير، مع قابلية لتوسيع وحدات الإدارة المؤسسية. صُمم الحل ليعالج مباشرةً مشكلة الاعتماد على ملفات متفرقة وأعمال يدوية في إدارة الموظفين والعمليات.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ملفات موظفين مركزية</w:t>
      </w:r>
    </w:p>
    <w:p>
      <w:pPr>
        <w:spacing w:after="80" w:line="290" w:lineRule="auto"/>
        <w:jc w:val="right"/>
        <w:bidi w:val="1"/>
        <w:numPr>
          <w:ilvl w:val="0"/>
          <w:numId w:val="10"/>
        </w:numPr>
      </w:pPr>
      <w:r>
        <w:rPr>
          <w:rFonts w:ascii="Arial" w:hAnsi="Arial" w:eastAsia="Arial" w:cs="Arial"/>
          <w:color w:val="143044"/>
          <w:sz w:val="22"/>
          <w:rtl w:val="1"/>
        </w:rPr>
        <w:t>حضور وإجازات ورواتب</w:t>
      </w:r>
    </w:p>
    <w:p>
      <w:pPr>
        <w:spacing w:after="80" w:line="290" w:lineRule="auto"/>
        <w:jc w:val="right"/>
        <w:bidi w:val="1"/>
        <w:numPr>
          <w:ilvl w:val="0"/>
          <w:numId w:val="10"/>
        </w:numPr>
      </w:pPr>
      <w:r>
        <w:rPr>
          <w:rFonts w:ascii="Arial" w:hAnsi="Arial" w:eastAsia="Arial" w:cs="Arial"/>
          <w:color w:val="143044"/>
          <w:sz w:val="22"/>
          <w:rtl w:val="1"/>
        </w:rPr>
        <w:t>تقييمات وتقارير إدارية</w:t>
      </w:r>
    </w:p>
    <w:p>
      <w:pPr>
        <w:spacing w:after="80" w:line="290" w:lineRule="auto"/>
        <w:jc w:val="right"/>
        <w:bidi w:val="1"/>
        <w:numPr>
          <w:ilvl w:val="0"/>
          <w:numId w:val="10"/>
        </w:numPr>
      </w:pPr>
      <w:r>
        <w:rPr>
          <w:rFonts w:ascii="Arial" w:hAnsi="Arial" w:eastAsia="Arial" w:cs="Arial"/>
          <w:color w:val="143044"/>
          <w:sz w:val="22"/>
          <w:rtl w:val="1"/>
        </w:rPr>
        <w:t>ملف موحد لكل موظف ووثائقه الوظيفية</w:t>
      </w:r>
    </w:p>
    <w:p>
      <w:pPr>
        <w:spacing w:after="80" w:line="290" w:lineRule="auto"/>
        <w:jc w:val="right"/>
        <w:bidi w:val="1"/>
        <w:numPr>
          <w:ilvl w:val="0"/>
          <w:numId w:val="10"/>
        </w:numPr>
      </w:pPr>
      <w:r>
        <w:rPr>
          <w:rFonts w:ascii="Arial" w:hAnsi="Arial" w:eastAsia="Arial" w:cs="Arial"/>
          <w:color w:val="143044"/>
          <w:sz w:val="22"/>
          <w:rtl w:val="1"/>
        </w:rPr>
        <w:t>مسارات طلب واعتماد للإجازات والمأموريات</w:t>
      </w:r>
    </w:p>
    <w:p>
      <w:pPr>
        <w:spacing w:after="80" w:line="290" w:lineRule="auto"/>
        <w:jc w:val="right"/>
        <w:bidi w:val="1"/>
        <w:numPr>
          <w:ilvl w:val="0"/>
          <w:numId w:val="10"/>
        </w:numPr>
      </w:pPr>
      <w:r>
        <w:rPr>
          <w:rFonts w:ascii="Arial" w:hAnsi="Arial" w:eastAsia="Arial" w:cs="Arial"/>
          <w:color w:val="143044"/>
          <w:sz w:val="22"/>
          <w:rtl w:val="1"/>
        </w:rPr>
        <w:t>إعداد عناصر الرواتب والاستحقاقات والاستقطاعات</w:t>
      </w:r>
    </w:p>
    <w:p>
      <w:pPr>
        <w:spacing w:after="80" w:line="290" w:lineRule="auto"/>
        <w:jc w:val="right"/>
        <w:bidi w:val="1"/>
        <w:numPr>
          <w:ilvl w:val="0"/>
          <w:numId w:val="10"/>
        </w:numPr>
      </w:pPr>
      <w:r>
        <w:rPr>
          <w:rFonts w:ascii="Arial" w:hAnsi="Arial" w:eastAsia="Arial" w:cs="Arial"/>
          <w:color w:val="143044"/>
          <w:sz w:val="22"/>
          <w:rtl w:val="1"/>
        </w:rPr>
        <w:t>مؤشرات أداء وتقارير للإدارة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توحيد السجلات بدل الملفات المتفرقة</w:t>
      </w:r>
    </w:p>
    <w:p>
      <w:pPr>
        <w:spacing w:after="80" w:line="290" w:lineRule="auto"/>
        <w:jc w:val="right"/>
        <w:bidi w:val="1"/>
        <w:numPr>
          <w:ilvl w:val="0"/>
          <w:numId w:val="10"/>
        </w:numPr>
      </w:pPr>
      <w:r>
        <w:rPr>
          <w:rFonts w:ascii="Arial" w:hAnsi="Arial" w:eastAsia="Arial" w:cs="Arial"/>
          <w:color w:val="143044"/>
          <w:sz w:val="22"/>
          <w:rtl w:val="1"/>
        </w:rPr>
        <w:t>تسريع المتابعة والاعتماد بين الفرق</w:t>
      </w:r>
    </w:p>
    <w:p>
      <w:pPr>
        <w:spacing w:after="80" w:line="290" w:lineRule="auto"/>
        <w:jc w:val="right"/>
        <w:bidi w:val="1"/>
        <w:numPr>
          <w:ilvl w:val="0"/>
          <w:numId w:val="10"/>
        </w:numPr>
      </w:pPr>
      <w:r>
        <w:rPr>
          <w:rFonts w:ascii="Arial" w:hAnsi="Arial" w:eastAsia="Arial" w:cs="Arial"/>
          <w:color w:val="143044"/>
          <w:sz w:val="22"/>
          <w:rtl w:val="1"/>
        </w:rPr>
        <w:t>إتاحة مؤشرات تساعد الإدارة على القرار</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شركة متوسطة تجمع ملفات الموظفين في نظام واحد</w:t>
      </w:r>
    </w:p>
    <w:p>
      <w:pPr>
        <w:spacing w:after="80" w:line="290" w:lineRule="auto"/>
        <w:jc w:val="right"/>
        <w:bidi w:val="1"/>
        <w:numPr>
          <w:ilvl w:val="0"/>
          <w:numId w:val="10"/>
        </w:numPr>
      </w:pPr>
      <w:r>
        <w:rPr>
          <w:rFonts w:ascii="Arial" w:hAnsi="Arial" w:eastAsia="Arial" w:cs="Arial"/>
          <w:color w:val="143044"/>
          <w:sz w:val="22"/>
          <w:rtl w:val="1"/>
        </w:rPr>
        <w:t>مؤسسة متعددة الأقسام تحتاج موافقات وتقارير</w:t>
      </w:r>
    </w:p>
    <w:p>
      <w:pPr>
        <w:spacing w:after="80" w:line="290" w:lineRule="auto"/>
        <w:jc w:val="right"/>
        <w:bidi w:val="1"/>
        <w:numPr>
          <w:ilvl w:val="0"/>
          <w:numId w:val="10"/>
        </w:numPr>
      </w:pPr>
      <w:r>
        <w:rPr>
          <w:rFonts w:ascii="Arial" w:hAnsi="Arial" w:eastAsia="Arial" w:cs="Arial"/>
          <w:color w:val="143044"/>
          <w:sz w:val="22"/>
          <w:rtl w:val="1"/>
        </w:rPr>
        <w:t>جامعة أو جهة كبيرة تتابع الحضور والإجازات</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HR</w:t>
        </w:r>
      </w:hyperlink>
    </w:p>
    <w:p>
      <w:pPr>
        <w:spacing w:after="100"/>
        <w:jc w:val="right"/>
        <w:bidi w:val="1"/>
      </w:pPr>
      <w:hyperlink r:id="rId12">
        <w:r>
          <w:rPr>
            <w:rFonts w:ascii="Arial" w:hAnsi="Arial" w:eastAsia="Arial" w:cs="Arial"/>
            <w:color w:val="0F7C86"/>
            <w:b/>
            <w:u w:val="single"/>
            <w:rtl w:val="1"/>
          </w:rPr>
          <w:t>HR System</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75,000 جنيه مصري للترخيص الأساسي. ترخيص مؤسسي + وحدات إضافية.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3">
        <w:r>
          <w:rPr>
            <w:rFonts w:ascii="Arial" w:hAnsi="Arial" w:eastAsia="Arial" w:cs="Arial"/>
            <w:color w:val="C8932F"/>
            <w:b/>
            <w:u w:val="single"/>
            <w:rtl w:val="1"/>
          </w:rPr>
          <w:t>  شراء المنتج من المتجر</w:t>
        </w:r>
      </w:hyperlink>
    </w:p>
    <w:p>
      <w:pPr>
        <w:spacing w:after="160"/>
        <w:jc w:val="right"/>
        <w:bidi w:val="1"/>
      </w:pPr>
      <w:hyperlink r:id="rId14">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5">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الموارد البشرية والإدارة المؤسسية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hr" TargetMode="External"/><Relationship Id="rId12" Type="http://schemas.openxmlformats.org/officeDocument/2006/relationships/hyperlink" Target="http://myprojecthrdemo.alhekmalabs.net/" TargetMode="External"/><Relationship Id="rId13" Type="http://schemas.openxmlformats.org/officeDocument/2006/relationships/hyperlink" Target="https://arkanalhekma.com/checkout/hr-enterprise-management/" TargetMode="External"/><Relationship Id="rId14" Type="http://schemas.openxmlformats.org/officeDocument/2006/relationships/hyperlink" Target="https://arkanalhekma.com/product/hr-enterprise-management/" TargetMode="External"/><Relationship Id="rId15"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الموارد البشرية والإدارة المؤسسية</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