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التصويت والانتخابات الإلكترونية</w:t>
      </w:r>
    </w:p>
    <w:p>
      <w:pPr>
        <w:spacing w:after="320" w:line="288" w:lineRule="auto"/>
        <w:jc w:val="right"/>
        <w:bidi w:val="1"/>
      </w:pPr>
      <w:r>
        <w:rPr>
          <w:rFonts w:ascii="Arial" w:hAnsi="Arial" w:eastAsia="Arial" w:cs="Arial"/>
          <w:b/>
          <w:color w:val="0F7C86"/>
          <w:sz w:val="26"/>
          <w:rtl w:val="1"/>
        </w:rPr>
        <w:t>تصويت أسهل… وإدارة أكثر شفافية.</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المؤسسات والمجتمعات</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58,000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1</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منظومة لإدارة المرشحين والناخبين والاقتراع والنتائج إلكترونيًا، مع صلاحيات وسجلات تدقيق وخيارات تحقق قابلة للتخصيص. صُمم الحل ليعالج مباشرةً مشكلة تكلفة وتعقيد الانتخابات اليدوية وصعوبة إعلان النتائج بسرعة.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إدارة الناخبين والمرشحين</w:t>
      </w:r>
    </w:p>
    <w:p>
      <w:pPr>
        <w:spacing w:after="80" w:line="290" w:lineRule="auto"/>
        <w:jc w:val="right"/>
        <w:bidi w:val="1"/>
        <w:numPr>
          <w:ilvl w:val="0"/>
          <w:numId w:val="10"/>
        </w:numPr>
      </w:pPr>
      <w:r>
        <w:rPr>
          <w:rFonts w:ascii="Arial" w:hAnsi="Arial" w:eastAsia="Arial" w:cs="Arial"/>
          <w:color w:val="143044"/>
          <w:sz w:val="22"/>
          <w:rtl w:val="1"/>
        </w:rPr>
        <w:t>اقتراع ونتائج فورية</w:t>
      </w:r>
    </w:p>
    <w:p>
      <w:pPr>
        <w:spacing w:after="80" w:line="290" w:lineRule="auto"/>
        <w:jc w:val="right"/>
        <w:bidi w:val="1"/>
        <w:numPr>
          <w:ilvl w:val="0"/>
          <w:numId w:val="10"/>
        </w:numPr>
      </w:pPr>
      <w:r>
        <w:rPr>
          <w:rFonts w:ascii="Arial" w:hAnsi="Arial" w:eastAsia="Arial" w:cs="Arial"/>
          <w:color w:val="143044"/>
          <w:sz w:val="22"/>
          <w:rtl w:val="1"/>
        </w:rPr>
        <w:t>سجلات وصلاحيات</w:t>
      </w:r>
    </w:p>
    <w:p>
      <w:pPr>
        <w:spacing w:after="80" w:line="290" w:lineRule="auto"/>
        <w:jc w:val="right"/>
        <w:bidi w:val="1"/>
        <w:numPr>
          <w:ilvl w:val="0"/>
          <w:numId w:val="10"/>
        </w:numPr>
      </w:pPr>
      <w:r>
        <w:rPr>
          <w:rFonts w:ascii="Arial" w:hAnsi="Arial" w:eastAsia="Arial" w:cs="Arial"/>
          <w:color w:val="143044"/>
          <w:sz w:val="22"/>
          <w:rtl w:val="1"/>
        </w:rPr>
        <w:t>تسجيل الناخبين والمرشحين وفق قواعد الدورة</w:t>
      </w:r>
    </w:p>
    <w:p>
      <w:pPr>
        <w:spacing w:after="80" w:line="290" w:lineRule="auto"/>
        <w:jc w:val="right"/>
        <w:bidi w:val="1"/>
        <w:numPr>
          <w:ilvl w:val="0"/>
          <w:numId w:val="10"/>
        </w:numPr>
      </w:pPr>
      <w:r>
        <w:rPr>
          <w:rFonts w:ascii="Arial" w:hAnsi="Arial" w:eastAsia="Arial" w:cs="Arial"/>
          <w:color w:val="143044"/>
          <w:sz w:val="22"/>
          <w:rtl w:val="1"/>
        </w:rPr>
        <w:t>اقتراع إلكتروني وتجربة استخدام واضحة</w:t>
      </w:r>
    </w:p>
    <w:p>
      <w:pPr>
        <w:spacing w:after="80" w:line="290" w:lineRule="auto"/>
        <w:jc w:val="right"/>
        <w:bidi w:val="1"/>
        <w:numPr>
          <w:ilvl w:val="0"/>
          <w:numId w:val="10"/>
        </w:numPr>
      </w:pPr>
      <w:r>
        <w:rPr>
          <w:rFonts w:ascii="Arial" w:hAnsi="Arial" w:eastAsia="Arial" w:cs="Arial"/>
          <w:color w:val="143044"/>
          <w:sz w:val="22"/>
          <w:rtl w:val="1"/>
        </w:rPr>
        <w:t>فرز ونتائج وتقارير فور الإغلاق</w:t>
      </w:r>
    </w:p>
    <w:p>
      <w:pPr>
        <w:spacing w:after="80" w:line="290" w:lineRule="auto"/>
        <w:jc w:val="right"/>
        <w:bidi w:val="1"/>
        <w:numPr>
          <w:ilvl w:val="0"/>
          <w:numId w:val="10"/>
        </w:numPr>
      </w:pPr>
      <w:r>
        <w:rPr>
          <w:rFonts w:ascii="Arial" w:hAnsi="Arial" w:eastAsia="Arial" w:cs="Arial"/>
          <w:color w:val="143044"/>
          <w:sz w:val="22"/>
          <w:rtl w:val="1"/>
        </w:rPr>
        <w:t>صلاحيات وسجلات تدقيق وخيارات تحقق</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رفع المشاركة والوصول داخل المجتمع</w:t>
      </w:r>
    </w:p>
    <w:p>
      <w:pPr>
        <w:spacing w:after="80" w:line="290" w:lineRule="auto"/>
        <w:jc w:val="right"/>
        <w:bidi w:val="1"/>
        <w:numPr>
          <w:ilvl w:val="0"/>
          <w:numId w:val="10"/>
        </w:numPr>
      </w:pPr>
      <w:r>
        <w:rPr>
          <w:rFonts w:ascii="Arial" w:hAnsi="Arial" w:eastAsia="Arial" w:cs="Arial"/>
          <w:color w:val="143044"/>
          <w:sz w:val="22"/>
          <w:rtl w:val="1"/>
        </w:rPr>
        <w:t>حماية ملكية المؤسسة لبيانات أعضائها</w:t>
      </w:r>
    </w:p>
    <w:p>
      <w:pPr>
        <w:spacing w:after="80" w:line="290" w:lineRule="auto"/>
        <w:jc w:val="right"/>
        <w:bidi w:val="1"/>
        <w:numPr>
          <w:ilvl w:val="0"/>
          <w:numId w:val="10"/>
        </w:numPr>
      </w:pPr>
      <w:r>
        <w:rPr>
          <w:rFonts w:ascii="Arial" w:hAnsi="Arial" w:eastAsia="Arial" w:cs="Arial"/>
          <w:color w:val="143044"/>
          <w:sz w:val="22"/>
          <w:rtl w:val="1"/>
        </w:rPr>
        <w:t>تنظيم التواصل والصلاحيات في قناة رسمية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نقابة تنظم دورة انتخابية إلكترونية</w:t>
      </w:r>
    </w:p>
    <w:p>
      <w:pPr>
        <w:spacing w:after="80" w:line="290" w:lineRule="auto"/>
        <w:jc w:val="right"/>
        <w:bidi w:val="1"/>
        <w:numPr>
          <w:ilvl w:val="0"/>
          <w:numId w:val="10"/>
        </w:numPr>
      </w:pPr>
      <w:r>
        <w:rPr>
          <w:rFonts w:ascii="Arial" w:hAnsi="Arial" w:eastAsia="Arial" w:cs="Arial"/>
          <w:color w:val="143044"/>
          <w:sz w:val="22"/>
          <w:rtl w:val="1"/>
        </w:rPr>
        <w:t>جمعية تدير اقتراعًا داخليًا</w:t>
      </w:r>
    </w:p>
    <w:p>
      <w:pPr>
        <w:spacing w:after="80" w:line="290" w:lineRule="auto"/>
        <w:jc w:val="right"/>
        <w:bidi w:val="1"/>
        <w:numPr>
          <w:ilvl w:val="0"/>
          <w:numId w:val="10"/>
        </w:numPr>
      </w:pPr>
      <w:r>
        <w:rPr>
          <w:rFonts w:ascii="Arial" w:hAnsi="Arial" w:eastAsia="Arial" w:cs="Arial"/>
          <w:color w:val="143044"/>
          <w:sz w:val="22"/>
          <w:rtl w:val="1"/>
        </w:rPr>
        <w:t>مؤسسة تنفذ تصويتًا أو قرارًا موثقًا</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Elections Training</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58,000 جنيه مصري للترخيص الأساسي. ترخيص لكل دورة انتخابية أو سنوي.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2">
        <w:r>
          <w:rPr>
            <w:rFonts w:ascii="Arial" w:hAnsi="Arial" w:eastAsia="Arial" w:cs="Arial"/>
            <w:color w:val="C8932F"/>
            <w:b/>
            <w:u w:val="single"/>
            <w:rtl w:val="1"/>
          </w:rPr>
          <w:t>  شراء المنتج من المتجر</w:t>
        </w:r>
      </w:hyperlink>
    </w:p>
    <w:p>
      <w:pPr>
        <w:spacing w:after="160"/>
        <w:jc w:val="right"/>
        <w:bidi w:val="1"/>
      </w:pPr>
      <w:hyperlink r:id="rId13">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4">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التصويت والانتخابات الإلكترونية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rkanalhekma.elections" TargetMode="External"/><Relationship Id="rId12" Type="http://schemas.openxmlformats.org/officeDocument/2006/relationships/hyperlink" Target="https://arkanalhekma.com/checkout/electronic-voting-system/" TargetMode="External"/><Relationship Id="rId13" Type="http://schemas.openxmlformats.org/officeDocument/2006/relationships/hyperlink" Target="https://arkanalhekma.com/product/electronic-voting-system/" TargetMode="External"/><Relationship Id="rId14"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التصويت والانتخابات الإلكترونية</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