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نظام إدارة المجتمعات والعضويات</w:t>
      </w:r>
    </w:p>
    <w:p>
      <w:pPr>
        <w:spacing w:after="320" w:line="288" w:lineRule="auto"/>
        <w:jc w:val="right"/>
        <w:bidi w:val="1"/>
      </w:pPr>
      <w:r>
        <w:rPr>
          <w:rFonts w:ascii="Arial" w:hAnsi="Arial" w:eastAsia="Arial" w:cs="Arial"/>
          <w:b/>
          <w:color w:val="0F7C86"/>
          <w:sz w:val="26"/>
          <w:rtl w:val="1"/>
        </w:rPr>
        <w:t>أعضاء أكثر تفاعلًا… وإدارة تعرف كل ما يحدث.</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المؤسسات والمجتمعات</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60,000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2</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منصة لإدارة العضويات والاشتراكات والفعاليات والمساهمات والتواصل، تساعد المؤسسة على بناء مجتمع متماسك ومستدام. صُمم الحل ليعالج مباشرةً مشكلة بيانات أعضاء غير منظمة وضعف المشاركة والمتابعة.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قاعدة أعضاء</w:t>
      </w:r>
    </w:p>
    <w:p>
      <w:pPr>
        <w:spacing w:after="80" w:line="290" w:lineRule="auto"/>
        <w:jc w:val="right"/>
        <w:bidi w:val="1"/>
        <w:numPr>
          <w:ilvl w:val="0"/>
          <w:numId w:val="10"/>
        </w:numPr>
      </w:pPr>
      <w:r>
        <w:rPr>
          <w:rFonts w:ascii="Arial" w:hAnsi="Arial" w:eastAsia="Arial" w:cs="Arial"/>
          <w:color w:val="143044"/>
          <w:sz w:val="22"/>
          <w:rtl w:val="1"/>
        </w:rPr>
        <w:t>اشتراكات وفعاليات</w:t>
      </w:r>
    </w:p>
    <w:p>
      <w:pPr>
        <w:spacing w:after="80" w:line="290" w:lineRule="auto"/>
        <w:jc w:val="right"/>
        <w:bidi w:val="1"/>
        <w:numPr>
          <w:ilvl w:val="0"/>
          <w:numId w:val="10"/>
        </w:numPr>
      </w:pPr>
      <w:r>
        <w:rPr>
          <w:rFonts w:ascii="Arial" w:hAnsi="Arial" w:eastAsia="Arial" w:cs="Arial"/>
          <w:color w:val="143044"/>
          <w:sz w:val="22"/>
          <w:rtl w:val="1"/>
        </w:rPr>
        <w:t>تواصل وتقارير مشاركة</w:t>
      </w:r>
    </w:p>
    <w:p>
      <w:pPr>
        <w:spacing w:after="80" w:line="290" w:lineRule="auto"/>
        <w:jc w:val="right"/>
        <w:bidi w:val="1"/>
        <w:numPr>
          <w:ilvl w:val="0"/>
          <w:numId w:val="10"/>
        </w:numPr>
      </w:pPr>
      <w:r>
        <w:rPr>
          <w:rFonts w:ascii="Arial" w:hAnsi="Arial" w:eastAsia="Arial" w:cs="Arial"/>
          <w:color w:val="143044"/>
          <w:sz w:val="22"/>
          <w:rtl w:val="1"/>
        </w:rPr>
        <w:t>تسجيل العضويات وتحديث بيانات الأعضاء</w:t>
      </w:r>
    </w:p>
    <w:p>
      <w:pPr>
        <w:spacing w:after="80" w:line="290" w:lineRule="auto"/>
        <w:jc w:val="right"/>
        <w:bidi w:val="1"/>
        <w:numPr>
          <w:ilvl w:val="0"/>
          <w:numId w:val="10"/>
        </w:numPr>
      </w:pPr>
      <w:r>
        <w:rPr>
          <w:rFonts w:ascii="Arial" w:hAnsi="Arial" w:eastAsia="Arial" w:cs="Arial"/>
          <w:color w:val="143044"/>
          <w:sz w:val="22"/>
          <w:rtl w:val="1"/>
        </w:rPr>
        <w:t>اشتراكات ورسوم وتجديدات وفق السياسة</w:t>
      </w:r>
    </w:p>
    <w:p>
      <w:pPr>
        <w:spacing w:after="80" w:line="290" w:lineRule="auto"/>
        <w:jc w:val="right"/>
        <w:bidi w:val="1"/>
        <w:numPr>
          <w:ilvl w:val="0"/>
          <w:numId w:val="10"/>
        </w:numPr>
      </w:pPr>
      <w:r>
        <w:rPr>
          <w:rFonts w:ascii="Arial" w:hAnsi="Arial" w:eastAsia="Arial" w:cs="Arial"/>
          <w:color w:val="143044"/>
          <w:sz w:val="22"/>
          <w:rtl w:val="1"/>
        </w:rPr>
        <w:t>تنظيم فعاليات ورسائل وإعلانات داخلية</w:t>
      </w:r>
    </w:p>
    <w:p>
      <w:pPr>
        <w:spacing w:after="80" w:line="290" w:lineRule="auto"/>
        <w:jc w:val="right"/>
        <w:bidi w:val="1"/>
        <w:numPr>
          <w:ilvl w:val="0"/>
          <w:numId w:val="10"/>
        </w:numPr>
      </w:pPr>
      <w:r>
        <w:rPr>
          <w:rFonts w:ascii="Arial" w:hAnsi="Arial" w:eastAsia="Arial" w:cs="Arial"/>
          <w:color w:val="143044"/>
          <w:sz w:val="22"/>
          <w:rtl w:val="1"/>
        </w:rPr>
        <w:t>تقارير نشاط ومشاركة وصلاحيات إدارية</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رفع المشاركة والوصول داخل المجتمع</w:t>
      </w:r>
    </w:p>
    <w:p>
      <w:pPr>
        <w:spacing w:after="80" w:line="290" w:lineRule="auto"/>
        <w:jc w:val="right"/>
        <w:bidi w:val="1"/>
        <w:numPr>
          <w:ilvl w:val="0"/>
          <w:numId w:val="10"/>
        </w:numPr>
      </w:pPr>
      <w:r>
        <w:rPr>
          <w:rFonts w:ascii="Arial" w:hAnsi="Arial" w:eastAsia="Arial" w:cs="Arial"/>
          <w:color w:val="143044"/>
          <w:sz w:val="22"/>
          <w:rtl w:val="1"/>
        </w:rPr>
        <w:t>حماية ملكية المؤسسة لبيانات أعضائها</w:t>
      </w:r>
    </w:p>
    <w:p>
      <w:pPr>
        <w:spacing w:after="80" w:line="290" w:lineRule="auto"/>
        <w:jc w:val="right"/>
        <w:bidi w:val="1"/>
        <w:numPr>
          <w:ilvl w:val="0"/>
          <w:numId w:val="10"/>
        </w:numPr>
      </w:pPr>
      <w:r>
        <w:rPr>
          <w:rFonts w:ascii="Arial" w:hAnsi="Arial" w:eastAsia="Arial" w:cs="Arial"/>
          <w:color w:val="143044"/>
          <w:sz w:val="22"/>
          <w:rtl w:val="1"/>
        </w:rPr>
        <w:t>تنظيم التواصل والصلاحيات في قناة رسمية</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نقابة تدير العضويات والاشتراكات</w:t>
      </w:r>
    </w:p>
    <w:p>
      <w:pPr>
        <w:spacing w:after="80" w:line="290" w:lineRule="auto"/>
        <w:jc w:val="right"/>
        <w:bidi w:val="1"/>
        <w:numPr>
          <w:ilvl w:val="0"/>
          <w:numId w:val="10"/>
        </w:numPr>
      </w:pPr>
      <w:r>
        <w:rPr>
          <w:rFonts w:ascii="Arial" w:hAnsi="Arial" w:eastAsia="Arial" w:cs="Arial"/>
          <w:color w:val="143044"/>
          <w:sz w:val="22"/>
          <w:rtl w:val="1"/>
        </w:rPr>
        <w:t>نادي ينظم الأعضاء والفعاليات</w:t>
      </w:r>
    </w:p>
    <w:p>
      <w:pPr>
        <w:spacing w:after="80" w:line="290" w:lineRule="auto"/>
        <w:jc w:val="right"/>
        <w:bidi w:val="1"/>
        <w:numPr>
          <w:ilvl w:val="0"/>
          <w:numId w:val="10"/>
        </w:numPr>
      </w:pPr>
      <w:r>
        <w:rPr>
          <w:rFonts w:ascii="Arial" w:hAnsi="Arial" w:eastAsia="Arial" w:cs="Arial"/>
          <w:color w:val="143044"/>
          <w:sz w:val="22"/>
          <w:rtl w:val="1"/>
        </w:rPr>
        <w:t>جمعية مهنية تقيس المشاركة والتواصل</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Communities System</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60,000 جنيه مصري للترخيص الأساسي. اشتراك سنوي حسب عدد الأعضاء.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2">
        <w:r>
          <w:rPr>
            <w:rFonts w:ascii="Arial" w:hAnsi="Arial" w:eastAsia="Arial" w:cs="Arial"/>
            <w:color w:val="C8932F"/>
            <w:b/>
            <w:u w:val="single"/>
            <w:rtl w:val="1"/>
          </w:rPr>
          <w:t>  شراء المنتج من المتجر</w:t>
        </w:r>
      </w:hyperlink>
    </w:p>
    <w:p>
      <w:pPr>
        <w:spacing w:after="160"/>
        <w:jc w:val="right"/>
        <w:bidi w:val="1"/>
      </w:pPr>
      <w:hyperlink r:id="rId13">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4">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نظام إدارة المجتمعات والعضويات</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labs.communityapp" TargetMode="External"/><Relationship Id="rId12" Type="http://schemas.openxmlformats.org/officeDocument/2006/relationships/hyperlink" Target="https://arkanalhekma.com/checkout/community-membership-system/" TargetMode="External"/><Relationship Id="rId13" Type="http://schemas.openxmlformats.org/officeDocument/2006/relationships/hyperlink" Target="https://arkanalhekma.com/product/community-membership-system/" TargetMode="External"/><Relationship Id="rId14"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نظام إدارة المجتمعات والعضويات</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