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إدارة الحضور الرقمي والتسويق</w:t>
      </w:r>
    </w:p>
    <w:p>
      <w:pPr>
        <w:spacing w:after="320" w:line="288" w:lineRule="auto"/>
        <w:jc w:val="right"/>
        <w:bidi w:val="1"/>
      </w:pPr>
      <w:r>
        <w:rPr>
          <w:rFonts w:ascii="Arial" w:hAnsi="Arial" w:eastAsia="Arial" w:cs="Arial"/>
          <w:b/>
          <w:color w:val="0F7C86"/>
          <w:sz w:val="26"/>
          <w:rtl w:val="1"/>
        </w:rPr>
        <w:t>اجعل كل محتوى خطوة محسوبة نحو عميل جديد.</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الحضور الرقمي والتسويق</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32,000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0</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منظومة لتنظيم المحتوى والحملات والتواصل مع العملاء المحتملين ومتابعة الأداء، بما يربط الحضور الرقمي بأهداف المبيعات. صُمم الحل ليعالج مباشرةً مشكلة نشر غير منظم وصعوبة قياس التفاعل وتحويل الحملات إلى فرص بيع.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خطط ونشر محتوى</w:t>
      </w:r>
    </w:p>
    <w:p>
      <w:pPr>
        <w:spacing w:after="80" w:line="290" w:lineRule="auto"/>
        <w:jc w:val="right"/>
        <w:bidi w:val="1"/>
        <w:numPr>
          <w:ilvl w:val="0"/>
          <w:numId w:val="10"/>
        </w:numPr>
      </w:pPr>
      <w:r>
        <w:rPr>
          <w:rFonts w:ascii="Arial" w:hAnsi="Arial" w:eastAsia="Arial" w:cs="Arial"/>
          <w:color w:val="143044"/>
          <w:sz w:val="22"/>
          <w:rtl w:val="1"/>
        </w:rPr>
        <w:t>متابعة الحملات والتفاعل</w:t>
      </w:r>
    </w:p>
    <w:p>
      <w:pPr>
        <w:spacing w:after="80" w:line="290" w:lineRule="auto"/>
        <w:jc w:val="right"/>
        <w:bidi w:val="1"/>
        <w:numPr>
          <w:ilvl w:val="0"/>
          <w:numId w:val="10"/>
        </w:numPr>
      </w:pPr>
      <w:r>
        <w:rPr>
          <w:rFonts w:ascii="Arial" w:hAnsi="Arial" w:eastAsia="Arial" w:cs="Arial"/>
          <w:color w:val="143044"/>
          <w:sz w:val="22"/>
          <w:rtl w:val="1"/>
        </w:rPr>
        <w:t>تنظيم العملاء المحتملين</w:t>
      </w:r>
    </w:p>
    <w:p>
      <w:pPr>
        <w:spacing w:after="80" w:line="290" w:lineRule="auto"/>
        <w:jc w:val="right"/>
        <w:bidi w:val="1"/>
        <w:numPr>
          <w:ilvl w:val="0"/>
          <w:numId w:val="10"/>
        </w:numPr>
      </w:pPr>
      <w:r>
        <w:rPr>
          <w:rFonts w:ascii="Arial" w:hAnsi="Arial" w:eastAsia="Arial" w:cs="Arial"/>
          <w:color w:val="143044"/>
          <w:sz w:val="22"/>
          <w:rtl w:val="1"/>
        </w:rPr>
        <w:t>تقويم محتوى وخطط نشر متعددة القنوات</w:t>
      </w:r>
    </w:p>
    <w:p>
      <w:pPr>
        <w:spacing w:after="80" w:line="290" w:lineRule="auto"/>
        <w:jc w:val="right"/>
        <w:bidi w:val="1"/>
        <w:numPr>
          <w:ilvl w:val="0"/>
          <w:numId w:val="10"/>
        </w:numPr>
      </w:pPr>
      <w:r>
        <w:rPr>
          <w:rFonts w:ascii="Arial" w:hAnsi="Arial" w:eastAsia="Arial" w:cs="Arial"/>
          <w:color w:val="143044"/>
          <w:sz w:val="22"/>
          <w:rtl w:val="1"/>
        </w:rPr>
        <w:t>إدارة الحملات والمواد والمواعيد</w:t>
      </w:r>
    </w:p>
    <w:p>
      <w:pPr>
        <w:spacing w:after="80" w:line="290" w:lineRule="auto"/>
        <w:jc w:val="right"/>
        <w:bidi w:val="1"/>
        <w:numPr>
          <w:ilvl w:val="0"/>
          <w:numId w:val="10"/>
        </w:numPr>
      </w:pPr>
      <w:r>
        <w:rPr>
          <w:rFonts w:ascii="Arial" w:hAnsi="Arial" w:eastAsia="Arial" w:cs="Arial"/>
          <w:color w:val="143044"/>
          <w:sz w:val="22"/>
          <w:rtl w:val="1"/>
        </w:rPr>
        <w:t>تجميع العملاء المحتملين ومتابعة مراحلهم</w:t>
      </w:r>
    </w:p>
    <w:p>
      <w:pPr>
        <w:spacing w:after="80" w:line="290" w:lineRule="auto"/>
        <w:jc w:val="right"/>
        <w:bidi w:val="1"/>
        <w:numPr>
          <w:ilvl w:val="0"/>
          <w:numId w:val="10"/>
        </w:numPr>
      </w:pPr>
      <w:r>
        <w:rPr>
          <w:rFonts w:ascii="Arial" w:hAnsi="Arial" w:eastAsia="Arial" w:cs="Arial"/>
          <w:color w:val="143044"/>
          <w:sz w:val="22"/>
          <w:rtl w:val="1"/>
        </w:rPr>
        <w:t>تقارير تفاعل وأداء تربط التسويق بهدف البيع</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بناء حضور مهني متسق</w:t>
      </w:r>
    </w:p>
    <w:p>
      <w:pPr>
        <w:spacing w:after="80" w:line="290" w:lineRule="auto"/>
        <w:jc w:val="right"/>
        <w:bidi w:val="1"/>
        <w:numPr>
          <w:ilvl w:val="0"/>
          <w:numId w:val="10"/>
        </w:numPr>
      </w:pPr>
      <w:r>
        <w:rPr>
          <w:rFonts w:ascii="Arial" w:hAnsi="Arial" w:eastAsia="Arial" w:cs="Arial"/>
          <w:color w:val="143044"/>
          <w:sz w:val="22"/>
          <w:rtl w:val="1"/>
        </w:rPr>
        <w:t>تحويل الاهتمام الرقمي إلى فرص بيع</w:t>
      </w:r>
    </w:p>
    <w:p>
      <w:pPr>
        <w:spacing w:after="80" w:line="290" w:lineRule="auto"/>
        <w:jc w:val="right"/>
        <w:bidi w:val="1"/>
        <w:numPr>
          <w:ilvl w:val="0"/>
          <w:numId w:val="10"/>
        </w:numPr>
      </w:pPr>
      <w:r>
        <w:rPr>
          <w:rFonts w:ascii="Arial" w:hAnsi="Arial" w:eastAsia="Arial" w:cs="Arial"/>
          <w:color w:val="143044"/>
          <w:sz w:val="22"/>
          <w:rtl w:val="1"/>
        </w:rPr>
        <w:t>ربط الحملات والمتابعة بأهداف العمل</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شركة تنظم خطة محتواها وحملاتها</w:t>
      </w:r>
    </w:p>
    <w:p>
      <w:pPr>
        <w:spacing w:after="80" w:line="290" w:lineRule="auto"/>
        <w:jc w:val="right"/>
        <w:bidi w:val="1"/>
        <w:numPr>
          <w:ilvl w:val="0"/>
          <w:numId w:val="10"/>
        </w:numPr>
      </w:pPr>
      <w:r>
        <w:rPr>
          <w:rFonts w:ascii="Arial" w:hAnsi="Arial" w:eastAsia="Arial" w:cs="Arial"/>
          <w:color w:val="143044"/>
          <w:sz w:val="22"/>
          <w:rtl w:val="1"/>
        </w:rPr>
        <w:t>وكالة تتابع قنوات وعملاء متعددين</w:t>
      </w:r>
    </w:p>
    <w:p>
      <w:pPr>
        <w:spacing w:after="80" w:line="290" w:lineRule="auto"/>
        <w:jc w:val="right"/>
        <w:bidi w:val="1"/>
        <w:numPr>
          <w:ilvl w:val="0"/>
          <w:numId w:val="10"/>
        </w:numPr>
      </w:pPr>
      <w:r>
        <w:rPr>
          <w:rFonts w:ascii="Arial" w:hAnsi="Arial" w:eastAsia="Arial" w:cs="Arial"/>
          <w:color w:val="143044"/>
          <w:sz w:val="22"/>
          <w:rtl w:val="1"/>
        </w:rPr>
        <w:t>مشروع ناشئ يحول التفاعل إلى فرص بيع</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ملاحظة العرض  </w:t>
      </w:r>
      <w:r>
        <w:rPr>
          <w:rFonts w:ascii="Arial" w:hAnsi="Arial" w:eastAsia="Arial" w:cs="Arial"/>
          <w:color w:val="143044"/>
          <w:sz w:val="21"/>
          <w:rtl w:val="1"/>
        </w:rPr>
        <w:t>لا يوجد حاليًا رابط عام صالح ومتاح لهذا المنتج. يتم تقديم المعاينة المناسبة بعد فهم نطاق مشروع العميل، من دون استخدام روابط غير موثقة.</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32,000 جنيه مصري للترخيص الأساسي. اشتراك شهري + خدمات تشغيل اختيارية.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1">
        <w:r>
          <w:rPr>
            <w:rFonts w:ascii="Arial" w:hAnsi="Arial" w:eastAsia="Arial" w:cs="Arial"/>
            <w:color w:val="C8932F"/>
            <w:b/>
            <w:u w:val="single"/>
            <w:rtl w:val="1"/>
          </w:rPr>
          <w:t>  شراء المنتج من المتجر</w:t>
        </w:r>
      </w:hyperlink>
    </w:p>
    <w:p>
      <w:pPr>
        <w:spacing w:after="160"/>
        <w:jc w:val="right"/>
        <w:bidi w:val="1"/>
      </w:pPr>
      <w:hyperlink r:id="rId12">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3">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إدارة الحضور الرقمي والتسويق</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rkanalhekma.com/checkout/digital-presence-marketing-system/" TargetMode="External"/><Relationship Id="rId12" Type="http://schemas.openxmlformats.org/officeDocument/2006/relationships/hyperlink" Target="https://arkanalhekma.com/product/digital-presence-marketing-system/" TargetMode="External"/><Relationship Id="rId13"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إدارة الحضور الرقمي والتسويق</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