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منصة إطلاق تطبيق أعمال مخصص</w:t>
      </w:r>
    </w:p>
    <w:p>
      <w:pPr>
        <w:spacing w:after="320" w:line="288" w:lineRule="auto"/>
        <w:jc w:val="right"/>
        <w:bidi w:val="1"/>
      </w:pPr>
      <w:r>
        <w:rPr>
          <w:rFonts w:ascii="Arial" w:hAnsi="Arial" w:eastAsia="Arial" w:cs="Arial"/>
          <w:b/>
          <w:color w:val="0F7C86"/>
          <w:sz w:val="26"/>
          <w:rtl w:val="1"/>
        </w:rPr>
        <w:t>حوّل دورة عملك الخاصة إلى تطبيق واضح وقابل للإطلاق.</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منتجات رقمية حسب الطلب</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45,000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0</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منصة انطلاق لتطبيق ويب أو موبايل بهوية المشروع، مع لوحة إدارة وصلاحيات وتكاملات تُحدد وفق دورة العمل الفعلية. صُمم الحل ليعالج مباشرةً مشكلة تحويل دورة عمل خاصة إلى تطبيق قابل للإدارة دون إعادة بناء البنية الأساسية من الصفر.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تطبيق ويب أو موبايل بهوية المشروع</w:t>
      </w:r>
    </w:p>
    <w:p>
      <w:pPr>
        <w:spacing w:after="80" w:line="290" w:lineRule="auto"/>
        <w:jc w:val="right"/>
        <w:bidi w:val="1"/>
        <w:numPr>
          <w:ilvl w:val="0"/>
          <w:numId w:val="10"/>
        </w:numPr>
      </w:pPr>
      <w:r>
        <w:rPr>
          <w:rFonts w:ascii="Arial" w:hAnsi="Arial" w:eastAsia="Arial" w:cs="Arial"/>
          <w:color w:val="143044"/>
          <w:sz w:val="22"/>
          <w:rtl w:val="1"/>
        </w:rPr>
        <w:t>لوحة إدارة وأدوار وصلاحيات</w:t>
      </w:r>
    </w:p>
    <w:p>
      <w:pPr>
        <w:spacing w:after="80" w:line="290" w:lineRule="auto"/>
        <w:jc w:val="right"/>
        <w:bidi w:val="1"/>
        <w:numPr>
          <w:ilvl w:val="0"/>
          <w:numId w:val="10"/>
        </w:numPr>
      </w:pPr>
      <w:r>
        <w:rPr>
          <w:rFonts w:ascii="Arial" w:hAnsi="Arial" w:eastAsia="Arial" w:cs="Arial"/>
          <w:color w:val="143044"/>
          <w:sz w:val="22"/>
          <w:rtl w:val="1"/>
        </w:rPr>
        <w:t>تدفقات عمل وتكاملات حسب الاحتياج</w:t>
      </w:r>
    </w:p>
    <w:p>
      <w:pPr>
        <w:spacing w:after="80" w:line="290" w:lineRule="auto"/>
        <w:jc w:val="right"/>
        <w:bidi w:val="1"/>
        <w:numPr>
          <w:ilvl w:val="0"/>
          <w:numId w:val="10"/>
        </w:numPr>
      </w:pPr>
      <w:r>
        <w:rPr>
          <w:rFonts w:ascii="Arial" w:hAnsi="Arial" w:eastAsia="Arial" w:cs="Arial"/>
          <w:color w:val="143044"/>
          <w:sz w:val="22"/>
          <w:rtl w:val="1"/>
        </w:rPr>
        <w:t>تطبيق ويب أو موبايل باسم المشروع</w:t>
      </w:r>
    </w:p>
    <w:p>
      <w:pPr>
        <w:spacing w:after="80" w:line="290" w:lineRule="auto"/>
        <w:jc w:val="right"/>
        <w:bidi w:val="1"/>
        <w:numPr>
          <w:ilvl w:val="0"/>
          <w:numId w:val="10"/>
        </w:numPr>
      </w:pPr>
      <w:r>
        <w:rPr>
          <w:rFonts w:ascii="Arial" w:hAnsi="Arial" w:eastAsia="Arial" w:cs="Arial"/>
          <w:color w:val="143044"/>
          <w:sz w:val="22"/>
          <w:rtl w:val="1"/>
        </w:rPr>
        <w:t>نماذج وتدفقات عمل تبنى حول العملية الفعلية</w:t>
      </w:r>
    </w:p>
    <w:p>
      <w:pPr>
        <w:spacing w:after="80" w:line="290" w:lineRule="auto"/>
        <w:jc w:val="right"/>
        <w:bidi w:val="1"/>
        <w:numPr>
          <w:ilvl w:val="0"/>
          <w:numId w:val="10"/>
        </w:numPr>
      </w:pPr>
      <w:r>
        <w:rPr>
          <w:rFonts w:ascii="Arial" w:hAnsi="Arial" w:eastAsia="Arial" w:cs="Arial"/>
          <w:color w:val="143044"/>
          <w:sz w:val="22"/>
          <w:rtl w:val="1"/>
        </w:rPr>
        <w:t>لوحة إدارة وأدوار وصلاحيات قابلة للتوسع</w:t>
      </w:r>
    </w:p>
    <w:p>
      <w:pPr>
        <w:spacing w:after="80" w:line="290" w:lineRule="auto"/>
        <w:jc w:val="right"/>
        <w:bidi w:val="1"/>
        <w:numPr>
          <w:ilvl w:val="0"/>
          <w:numId w:val="10"/>
        </w:numPr>
      </w:pPr>
      <w:r>
        <w:rPr>
          <w:rFonts w:ascii="Arial" w:hAnsi="Arial" w:eastAsia="Arial" w:cs="Arial"/>
          <w:color w:val="143044"/>
          <w:sz w:val="22"/>
          <w:rtl w:val="1"/>
        </w:rPr>
        <w:t>ربط إشعارات ومدفوعات وواجهات خارجية حسب النطاق</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اختصار زمن الإطلاق مقارنة بالبناء من الصفر</w:t>
      </w:r>
    </w:p>
    <w:p>
      <w:pPr>
        <w:spacing w:after="80" w:line="290" w:lineRule="auto"/>
        <w:jc w:val="right"/>
        <w:bidi w:val="1"/>
        <w:numPr>
          <w:ilvl w:val="0"/>
          <w:numId w:val="10"/>
        </w:numPr>
      </w:pPr>
      <w:r>
        <w:rPr>
          <w:rFonts w:ascii="Arial" w:hAnsi="Arial" w:eastAsia="Arial" w:cs="Arial"/>
          <w:color w:val="143044"/>
          <w:sz w:val="22"/>
          <w:rtl w:val="1"/>
        </w:rPr>
        <w:t>ملاءمة النظام لطريقة العمل الفعلية</w:t>
      </w:r>
    </w:p>
    <w:p>
      <w:pPr>
        <w:spacing w:after="80" w:line="290" w:lineRule="auto"/>
        <w:jc w:val="right"/>
        <w:bidi w:val="1"/>
        <w:numPr>
          <w:ilvl w:val="0"/>
          <w:numId w:val="10"/>
        </w:numPr>
      </w:pPr>
      <w:r>
        <w:rPr>
          <w:rFonts w:ascii="Arial" w:hAnsi="Arial" w:eastAsia="Arial" w:cs="Arial"/>
          <w:color w:val="143044"/>
          <w:sz w:val="22"/>
          <w:rtl w:val="1"/>
        </w:rPr>
        <w:t>الاحتفاظ بمرونة التوسع والتكامل لاحقًا</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رائد أعمال لديه فكرة تطبيق ومسار عمل واضح</w:t>
      </w:r>
    </w:p>
    <w:p>
      <w:pPr>
        <w:spacing w:after="80" w:line="290" w:lineRule="auto"/>
        <w:jc w:val="right"/>
        <w:bidi w:val="1"/>
        <w:numPr>
          <w:ilvl w:val="0"/>
          <w:numId w:val="10"/>
        </w:numPr>
      </w:pPr>
      <w:r>
        <w:rPr>
          <w:rFonts w:ascii="Arial" w:hAnsi="Arial" w:eastAsia="Arial" w:cs="Arial"/>
          <w:color w:val="143044"/>
          <w:sz w:val="22"/>
          <w:rtl w:val="1"/>
        </w:rPr>
        <w:t>شركة تريد تطبيقًا داخليًا باسمها</w:t>
      </w:r>
    </w:p>
    <w:p>
      <w:pPr>
        <w:spacing w:after="80" w:line="290" w:lineRule="auto"/>
        <w:jc w:val="right"/>
        <w:bidi w:val="1"/>
        <w:numPr>
          <w:ilvl w:val="0"/>
          <w:numId w:val="10"/>
        </w:numPr>
      </w:pPr>
      <w:r>
        <w:rPr>
          <w:rFonts w:ascii="Arial" w:hAnsi="Arial" w:eastAsia="Arial" w:cs="Arial"/>
          <w:color w:val="143044"/>
          <w:sz w:val="22"/>
          <w:rtl w:val="1"/>
        </w:rPr>
        <w:t>مشروع قائم يحتاج نسخة رقمية قابلة للتوسع</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ملاحظة العرض  </w:t>
      </w:r>
      <w:r>
        <w:rPr>
          <w:rFonts w:ascii="Arial" w:hAnsi="Arial" w:eastAsia="Arial" w:cs="Arial"/>
          <w:color w:val="143044"/>
          <w:sz w:val="21"/>
          <w:rtl w:val="1"/>
        </w:rPr>
        <w:t>لا يوجد حاليًا رابط عام صالح ومتاح لهذا المنتج. يتم تقديم المعاينة المناسبة بعد فهم نطاق مشروع العميل، من دون استخدام روابط غير موثقة.</w:t>
      </w:r>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45,000 جنيه مصري للترخيص الأساسي. سعر يبدأ من 45,000 جنيه ويُثبت بعد تحديد النطاق.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1">
        <w:r>
          <w:rPr>
            <w:rFonts w:ascii="Arial" w:hAnsi="Arial" w:eastAsia="Arial" w:cs="Arial"/>
            <w:color w:val="C8932F"/>
            <w:b/>
            <w:u w:val="single"/>
            <w:rtl w:val="1"/>
          </w:rPr>
          <w:t>  شراء المنتج من المتجر</w:t>
        </w:r>
      </w:hyperlink>
    </w:p>
    <w:p>
      <w:pPr>
        <w:spacing w:after="160"/>
        <w:jc w:val="right"/>
        <w:bidi w:val="1"/>
      </w:pPr>
      <w:hyperlink r:id="rId12">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3">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منصة إطلاق تطبيق أعمال مخصص</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arkanalhekma.com/checkout/reconfigurable-custom-app/" TargetMode="External"/><Relationship Id="rId12" Type="http://schemas.openxmlformats.org/officeDocument/2006/relationships/hyperlink" Target="https://arkanalhekma.com/product/reconfigurable-custom-app/" TargetMode="External"/><Relationship Id="rId13"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منصة إطلاق تطبيق أعمال مخصص</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