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شبكة اجتماعية أكاديمية ومهنية</w:t>
      </w:r>
    </w:p>
    <w:p>
      <w:pPr>
        <w:spacing w:after="320" w:line="288" w:lineRule="auto"/>
        <w:jc w:val="right"/>
        <w:bidi w:val="1"/>
      </w:pPr>
      <w:r>
        <w:rPr>
          <w:rFonts w:ascii="Arial" w:hAnsi="Arial" w:eastAsia="Arial" w:cs="Arial"/>
          <w:b/>
          <w:color w:val="0F7C86"/>
          <w:sz w:val="26"/>
          <w:rtl w:val="1"/>
        </w:rPr>
        <w:t>المعرفة تنمو عندما يجد أصحابها بعضهم.</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72,000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4</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شبكة خاصة تجمع الطلاب أو الخبراء في ملفات ومجموعات ونقاشات ومحتوى، مع بيئة آمنة تحت إدارة المؤسسة. صُمم الحل ليعالج مباشرةً مشكلة ضعف التواصل المتخصص وتبادل المعرفة داخل المجتمع.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ملفات ومجتمعات متخصصة</w:t>
      </w:r>
    </w:p>
    <w:p>
      <w:pPr>
        <w:spacing w:after="80" w:line="290" w:lineRule="auto"/>
        <w:jc w:val="right"/>
        <w:bidi w:val="1"/>
        <w:numPr>
          <w:ilvl w:val="0"/>
          <w:numId w:val="10"/>
        </w:numPr>
      </w:pPr>
      <w:r>
        <w:rPr>
          <w:rFonts w:ascii="Arial" w:hAnsi="Arial" w:eastAsia="Arial" w:cs="Arial"/>
          <w:color w:val="143044"/>
          <w:sz w:val="22"/>
          <w:rtl w:val="1"/>
        </w:rPr>
        <w:t>نقاشات ومشاركة معرفة</w:t>
      </w:r>
    </w:p>
    <w:p>
      <w:pPr>
        <w:spacing w:after="80" w:line="290" w:lineRule="auto"/>
        <w:jc w:val="right"/>
        <w:bidi w:val="1"/>
        <w:numPr>
          <w:ilvl w:val="0"/>
          <w:numId w:val="10"/>
        </w:numPr>
      </w:pPr>
      <w:r>
        <w:rPr>
          <w:rFonts w:ascii="Arial" w:hAnsi="Arial" w:eastAsia="Arial" w:cs="Arial"/>
          <w:color w:val="143044"/>
          <w:sz w:val="22"/>
          <w:rtl w:val="1"/>
        </w:rPr>
        <w:t>إدارة وخصوصية</w:t>
      </w:r>
    </w:p>
    <w:p>
      <w:pPr>
        <w:spacing w:after="80" w:line="290" w:lineRule="auto"/>
        <w:jc w:val="right"/>
        <w:bidi w:val="1"/>
        <w:numPr>
          <w:ilvl w:val="0"/>
          <w:numId w:val="10"/>
        </w:numPr>
      </w:pPr>
      <w:r>
        <w:rPr>
          <w:rFonts w:ascii="Arial" w:hAnsi="Arial" w:eastAsia="Arial" w:cs="Arial"/>
          <w:color w:val="143044"/>
          <w:sz w:val="22"/>
          <w:rtl w:val="1"/>
        </w:rPr>
        <w:t>ملفات أكاديمية ومهنية للأعضاء</w:t>
      </w:r>
    </w:p>
    <w:p>
      <w:pPr>
        <w:spacing w:after="80" w:line="290" w:lineRule="auto"/>
        <w:jc w:val="right"/>
        <w:bidi w:val="1"/>
        <w:numPr>
          <w:ilvl w:val="0"/>
          <w:numId w:val="10"/>
        </w:numPr>
      </w:pPr>
      <w:r>
        <w:rPr>
          <w:rFonts w:ascii="Arial" w:hAnsi="Arial" w:eastAsia="Arial" w:cs="Arial"/>
          <w:color w:val="143044"/>
          <w:sz w:val="22"/>
          <w:rtl w:val="1"/>
        </w:rPr>
        <w:t>مجموعات نقاش ومشاركة معرفة ومواد</w:t>
      </w:r>
    </w:p>
    <w:p>
      <w:pPr>
        <w:spacing w:after="80" w:line="290" w:lineRule="auto"/>
        <w:jc w:val="right"/>
        <w:bidi w:val="1"/>
        <w:numPr>
          <w:ilvl w:val="0"/>
          <w:numId w:val="10"/>
        </w:numPr>
      </w:pPr>
      <w:r>
        <w:rPr>
          <w:rFonts w:ascii="Arial" w:hAnsi="Arial" w:eastAsia="Arial" w:cs="Arial"/>
          <w:color w:val="143044"/>
          <w:sz w:val="22"/>
          <w:rtl w:val="1"/>
        </w:rPr>
        <w:t>ربط الخبرات بالفرص والفعاليات</w:t>
      </w:r>
    </w:p>
    <w:p>
      <w:pPr>
        <w:spacing w:after="80" w:line="290" w:lineRule="auto"/>
        <w:jc w:val="right"/>
        <w:bidi w:val="1"/>
        <w:numPr>
          <w:ilvl w:val="0"/>
          <w:numId w:val="10"/>
        </w:numPr>
      </w:pPr>
      <w:r>
        <w:rPr>
          <w:rFonts w:ascii="Arial" w:hAnsi="Arial" w:eastAsia="Arial" w:cs="Arial"/>
          <w:color w:val="143044"/>
          <w:sz w:val="22"/>
          <w:rtl w:val="1"/>
        </w:rPr>
        <w:t>إدارة وخصوصية وملكية كاملة لبيانات المجتمع</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جامعة تربط الطلاب والخريجين والخبراء</w:t>
      </w:r>
    </w:p>
    <w:p>
      <w:pPr>
        <w:spacing w:after="80" w:line="290" w:lineRule="auto"/>
        <w:jc w:val="right"/>
        <w:bidi w:val="1"/>
        <w:numPr>
          <w:ilvl w:val="0"/>
          <w:numId w:val="10"/>
        </w:numPr>
      </w:pPr>
      <w:r>
        <w:rPr>
          <w:rFonts w:ascii="Arial" w:hAnsi="Arial" w:eastAsia="Arial" w:cs="Arial"/>
          <w:color w:val="143044"/>
          <w:sz w:val="22"/>
          <w:rtl w:val="1"/>
        </w:rPr>
        <w:t>نقابة تبني شبكة مهنية خاصة</w:t>
      </w:r>
    </w:p>
    <w:p>
      <w:pPr>
        <w:spacing w:after="80" w:line="290" w:lineRule="auto"/>
        <w:jc w:val="right"/>
        <w:bidi w:val="1"/>
        <w:numPr>
          <w:ilvl w:val="0"/>
          <w:numId w:val="10"/>
        </w:numPr>
      </w:pPr>
      <w:r>
        <w:rPr>
          <w:rFonts w:ascii="Arial" w:hAnsi="Arial" w:eastAsia="Arial" w:cs="Arial"/>
          <w:color w:val="143044"/>
          <w:sz w:val="22"/>
          <w:rtl w:val="1"/>
        </w:rPr>
        <w:t>مجتمع بحثي يشارك المعرفة والفرص</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r>
        <w:rPr>
          <w:rFonts w:ascii="Arial" w:hAnsi="Arial" w:eastAsia="Arial" w:cs="Arial"/>
          <w:b/>
          <w:color w:val="143044"/>
          <w:sz w:val="21"/>
          <w:rtl w:val="1"/>
        </w:rPr>
        <w:t xml:space="preserve">شاهد التطبيق على Google Play: </w:t>
      </w:r>
      <w:hyperlink r:id="rId11">
        <w:r>
          <w:rPr>
            <w:rFonts w:ascii="Arial" w:hAnsi="Arial" w:eastAsia="Arial" w:cs="Arial"/>
            <w:color w:val="0F7C86"/>
            <w:sz w:val="18"/>
            <w:szCs w:val="18"/>
            <w:u w:val="single"/>
            <w:rtl w:val="0"/>
          </w:rPr>
          <w:t>https://play.google.com/store/apps/details?id=com.alhekmalabs.aseusocialapp</w:t>
        </w:r>
      </w:hyperlink>
    </w:p>
    <w:p>
      <w:pPr>
        <w:spacing w:after="100"/>
        <w:jc w:val="right"/>
        <w:bidi w:val="1"/>
      </w:pPr>
      <w:r>
        <w:rPr>
          <w:rFonts w:ascii="Arial" w:hAnsi="Arial" w:eastAsia="Arial" w:cs="Arial"/>
          <w:b/>
          <w:color w:val="143044"/>
          <w:sz w:val="21"/>
          <w:rtl w:val="1"/>
        </w:rPr>
        <w:t xml:space="preserve">شاهد التطبيق على Google Play: </w:t>
      </w:r>
      <w:hyperlink r:id="rId12">
        <w:r>
          <w:rPr>
            <w:rFonts w:ascii="Arial" w:hAnsi="Arial" w:eastAsia="Arial" w:cs="Arial"/>
            <w:color w:val="0F7C86"/>
            <w:sz w:val="18"/>
            <w:szCs w:val="18"/>
            <w:u w:val="single"/>
            <w:rtl w:val="0"/>
          </w:rPr>
          <w:t>https://play.google.com/store/apps/details?id=com.arkanalhekma.immigrants</w:t>
        </w:r>
      </w:hyperlink>
    </w:p>
    <w:p>
      <w:pPr>
        <w:spacing w:after="100"/>
        <w:jc w:val="right"/>
        <w:bidi w:val="1"/>
      </w:pPr>
      <w:r>
        <w:rPr>
          <w:rFonts w:ascii="Arial" w:hAnsi="Arial" w:eastAsia="Arial" w:cs="Arial"/>
          <w:b/>
          <w:color w:val="143044"/>
          <w:sz w:val="21"/>
          <w:rtl w:val="1"/>
        </w:rPr>
        <w:t xml:space="preserve">تصفّح الشبكة الاجتماعية الحية: </w:t>
      </w:r>
      <w:hyperlink r:id="rId13">
        <w:r>
          <w:rPr>
            <w:rFonts w:ascii="Arial" w:hAnsi="Arial" w:eastAsia="Arial" w:cs="Arial"/>
            <w:color w:val="0F7C86"/>
            <w:sz w:val="18"/>
            <w:szCs w:val="18"/>
            <w:u w:val="single"/>
            <w:rtl w:val="0"/>
          </w:rPr>
          <w:t>https://social-aseu.alhekmalabs.net/</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72,000 جنيه مصري للترخيص الأساسي. ترخيص White-label.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شبكة اجتماعية أكاديمية ومهنية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socialapp" TargetMode="External"/><Relationship Id="rId12" Type="http://schemas.openxmlformats.org/officeDocument/2006/relationships/hyperlink" Target="https://play.google.com/store/apps/details?id=com.arkanalhekma.immigrants" TargetMode="External"/><Relationship Id="rId13" Type="http://schemas.openxmlformats.org/officeDocument/2006/relationships/hyperlink" Target="https://social-aseu.alhekmalabs.net/" TargetMode="External"/><Relationship Id="rId14" Type="http://schemas.openxmlformats.org/officeDocument/2006/relationships/hyperlink" Target="https://arkanalhekma.com/checkout/academic-professional-social-network/" TargetMode="External"/><Relationship Id="rId15" Type="http://schemas.openxmlformats.org/officeDocument/2006/relationships/hyperlink" Target="https://arkanalhekma.com/product/academic-professional-social-network/"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شبكة اجتماعية أكاديمية ومهنية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