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سوق إلكتروني متعدد البائعين</w:t>
      </w:r>
    </w:p>
    <w:p>
      <w:pPr>
        <w:spacing w:after="320" w:line="288" w:lineRule="auto"/>
        <w:jc w:val="right"/>
        <w:bidi w:val="1"/>
      </w:pPr>
      <w:r>
        <w:rPr>
          <w:rFonts w:ascii="Arial" w:hAnsi="Arial" w:eastAsia="Arial" w:cs="Arial"/>
          <w:b/>
          <w:color w:val="0F7C86"/>
          <w:sz w:val="26"/>
          <w:rtl w:val="1"/>
        </w:rPr>
        <w:t>لا تفتح متجرًا واحدًا… امتلك سوقًا كاملًا.</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التجارة والأسواق الرقمية</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95,000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2</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Marketplace تجمع عدة بائعين بمتاجر ولوحات تحكم مستقلة، مع إدارة مركزية للعمولات والمنتجات والطلبات والتقارير. صُمم الحل ليعالج مباشرةً مشكلة صعوبة جمع عدة تجار في منصة واحدة وإدارة العمولات والطلبات.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لوحات للبائعين</w:t>
      </w:r>
    </w:p>
    <w:p>
      <w:pPr>
        <w:spacing w:after="80" w:line="290" w:lineRule="auto"/>
        <w:jc w:val="right"/>
        <w:bidi w:val="1"/>
        <w:numPr>
          <w:ilvl w:val="0"/>
          <w:numId w:val="10"/>
        </w:numPr>
      </w:pPr>
      <w:r>
        <w:rPr>
          <w:rFonts w:ascii="Arial" w:hAnsi="Arial" w:eastAsia="Arial" w:cs="Arial"/>
          <w:color w:val="143044"/>
          <w:sz w:val="22"/>
          <w:rtl w:val="1"/>
        </w:rPr>
        <w:t>عمولات وتسويات</w:t>
      </w:r>
    </w:p>
    <w:p>
      <w:pPr>
        <w:spacing w:after="80" w:line="290" w:lineRule="auto"/>
        <w:jc w:val="right"/>
        <w:bidi w:val="1"/>
        <w:numPr>
          <w:ilvl w:val="0"/>
          <w:numId w:val="10"/>
        </w:numPr>
      </w:pPr>
      <w:r>
        <w:rPr>
          <w:rFonts w:ascii="Arial" w:hAnsi="Arial" w:eastAsia="Arial" w:cs="Arial"/>
          <w:color w:val="143044"/>
          <w:sz w:val="22"/>
          <w:rtl w:val="1"/>
        </w:rPr>
        <w:t>إدارة مركزية للسوق</w:t>
      </w:r>
    </w:p>
    <w:p>
      <w:pPr>
        <w:spacing w:after="80" w:line="290" w:lineRule="auto"/>
        <w:jc w:val="right"/>
        <w:bidi w:val="1"/>
        <w:numPr>
          <w:ilvl w:val="0"/>
          <w:numId w:val="10"/>
        </w:numPr>
      </w:pPr>
      <w:r>
        <w:rPr>
          <w:rFonts w:ascii="Arial" w:hAnsi="Arial" w:eastAsia="Arial" w:cs="Arial"/>
          <w:color w:val="143044"/>
          <w:sz w:val="22"/>
          <w:rtl w:val="1"/>
        </w:rPr>
        <w:t>ضم عدد كبير من البائعين تحت علامة سوق واحدة</w:t>
      </w:r>
    </w:p>
    <w:p>
      <w:pPr>
        <w:spacing w:after="80" w:line="290" w:lineRule="auto"/>
        <w:jc w:val="right"/>
        <w:bidi w:val="1"/>
        <w:numPr>
          <w:ilvl w:val="0"/>
          <w:numId w:val="10"/>
        </w:numPr>
      </w:pPr>
      <w:r>
        <w:rPr>
          <w:rFonts w:ascii="Arial" w:hAnsi="Arial" w:eastAsia="Arial" w:cs="Arial"/>
          <w:color w:val="143044"/>
          <w:sz w:val="22"/>
          <w:rtl w:val="1"/>
        </w:rPr>
        <w:t>لوحة مستقلة لكل بائع مع سياسات موحدة</w:t>
      </w:r>
    </w:p>
    <w:p>
      <w:pPr>
        <w:spacing w:after="80" w:line="290" w:lineRule="auto"/>
        <w:jc w:val="right"/>
        <w:bidi w:val="1"/>
        <w:numPr>
          <w:ilvl w:val="0"/>
          <w:numId w:val="10"/>
        </w:numPr>
      </w:pPr>
      <w:r>
        <w:rPr>
          <w:rFonts w:ascii="Arial" w:hAnsi="Arial" w:eastAsia="Arial" w:cs="Arial"/>
          <w:color w:val="143044"/>
          <w:sz w:val="22"/>
          <w:rtl w:val="1"/>
        </w:rPr>
        <w:t>حساب العمولة والتسويات وتقارير الإدارة</w:t>
      </w:r>
    </w:p>
    <w:p>
      <w:pPr>
        <w:spacing w:after="80" w:line="290" w:lineRule="auto"/>
        <w:jc w:val="right"/>
        <w:bidi w:val="1"/>
        <w:numPr>
          <w:ilvl w:val="0"/>
          <w:numId w:val="10"/>
        </w:numPr>
      </w:pPr>
      <w:r>
        <w:rPr>
          <w:rFonts w:ascii="Arial" w:hAnsi="Arial" w:eastAsia="Arial" w:cs="Arial"/>
          <w:color w:val="143044"/>
          <w:sz w:val="22"/>
          <w:rtl w:val="1"/>
        </w:rPr>
        <w:t>إدارة النزاعات والعروض والتصنيفات مركزيًا</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فتح قناة بيع رقمية قابلة للنمو</w:t>
      </w:r>
    </w:p>
    <w:p>
      <w:pPr>
        <w:spacing w:after="80" w:line="290" w:lineRule="auto"/>
        <w:jc w:val="right"/>
        <w:bidi w:val="1"/>
        <w:numPr>
          <w:ilvl w:val="0"/>
          <w:numId w:val="10"/>
        </w:numPr>
      </w:pPr>
      <w:r>
        <w:rPr>
          <w:rFonts w:ascii="Arial" w:hAnsi="Arial" w:eastAsia="Arial" w:cs="Arial"/>
          <w:color w:val="143044"/>
          <w:sz w:val="22"/>
          <w:rtl w:val="1"/>
        </w:rPr>
        <w:t>تقليل الاحتكاك بين العميل والبائع</w:t>
      </w:r>
    </w:p>
    <w:p>
      <w:pPr>
        <w:spacing w:after="80" w:line="290" w:lineRule="auto"/>
        <w:jc w:val="right"/>
        <w:bidi w:val="1"/>
        <w:numPr>
          <w:ilvl w:val="0"/>
          <w:numId w:val="10"/>
        </w:numPr>
      </w:pPr>
      <w:r>
        <w:rPr>
          <w:rFonts w:ascii="Arial" w:hAnsi="Arial" w:eastAsia="Arial" w:cs="Arial"/>
          <w:color w:val="143044"/>
          <w:sz w:val="22"/>
          <w:rtl w:val="1"/>
        </w:rPr>
        <w:t>تحويل العمليات والعمولات إلى بيانات قابلة للقياس</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إطلاق سوق إلكتروني يحقق دخلًا من العمولات</w:t>
      </w:r>
    </w:p>
    <w:p>
      <w:pPr>
        <w:spacing w:after="80" w:line="290" w:lineRule="auto"/>
        <w:jc w:val="right"/>
        <w:bidi w:val="1"/>
        <w:numPr>
          <w:ilvl w:val="0"/>
          <w:numId w:val="10"/>
        </w:numPr>
      </w:pPr>
      <w:r>
        <w:rPr>
          <w:rFonts w:ascii="Arial" w:hAnsi="Arial" w:eastAsia="Arial" w:cs="Arial"/>
          <w:color w:val="143044"/>
          <w:sz w:val="22"/>
          <w:rtl w:val="1"/>
        </w:rPr>
        <w:t>تجميع متاجر قطاع متخصص في منصة واحدة</w:t>
      </w:r>
    </w:p>
    <w:p>
      <w:pPr>
        <w:spacing w:after="80" w:line="290" w:lineRule="auto"/>
        <w:jc w:val="right"/>
        <w:bidi w:val="1"/>
        <w:numPr>
          <w:ilvl w:val="0"/>
          <w:numId w:val="10"/>
        </w:numPr>
      </w:pPr>
      <w:r>
        <w:rPr>
          <w:rFonts w:ascii="Arial" w:hAnsi="Arial" w:eastAsia="Arial" w:cs="Arial"/>
          <w:color w:val="143044"/>
          <w:sz w:val="22"/>
          <w:rtl w:val="1"/>
        </w:rPr>
        <w:t>تحويل دليل بائعين إلى تجربة بيع كاملة</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r>
        <w:rPr>
          <w:rFonts w:ascii="Arial" w:hAnsi="Arial" w:eastAsia="Arial" w:cs="Arial"/>
          <w:b/>
          <w:color w:val="143044"/>
          <w:sz w:val="21"/>
          <w:rtl w:val="1"/>
        </w:rPr>
        <w:t xml:space="preserve">جرّب النظام حيًا: </w:t>
      </w:r>
      <w:hyperlink r:id="rId11">
        <w:r>
          <w:rPr>
            <w:rFonts w:ascii="Arial" w:hAnsi="Arial" w:eastAsia="Arial" w:cs="Arial"/>
            <w:color w:val="0F7C86"/>
            <w:sz w:val="18"/>
            <w:szCs w:val="18"/>
            <w:u w:val="single"/>
            <w:rtl w:val="0"/>
          </w:rPr>
          <w:t>https://lelfan.net/</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95,000 جنيه مصري للترخيص الأساسي. ترخيص White-label + نسبة تشغيل اختيارية.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سوق إلكتروني متعدد البائعين</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lelfan.net/" TargetMode="External"/><Relationship Id="rId12" Type="http://schemas.openxmlformats.org/officeDocument/2006/relationships/hyperlink" Target="https://arkanalhekma.com/checkout/multi-vendor-marketplace/" TargetMode="External"/><Relationship Id="rId13" Type="http://schemas.openxmlformats.org/officeDocument/2006/relationships/hyperlink" Target="https://arkanalhekma.com/product/multi-vendor-marketplace/"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سوق إلكتروني متعدد البائعين</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