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bidi w:val="1"/>
      </w:pPr>
      <w:r>
        <w:rPr>
          <w:rFonts w:ascii="Arial" w:hAnsi="Arial" w:eastAsia="Arial" w:cs="Arial"/>
          <w:b/>
          <w:color w:val="C8932F"/>
          <w:sz w:val="20"/>
          <w:rtl w:val="1"/>
        </w:rPr>
        <w:t>ملف تعريفي وبيعي للمنتج الرقمي</w:t>
      </w:r>
    </w:p>
    <w:p>
      <w:pPr>
        <w:spacing w:after="120"/>
        <w:jc w:val="right"/>
        <w:bidi w:val="1"/>
      </w:pPr>
      <w:r>
        <w:rPr>
          <w:rFonts w:ascii="Arial" w:hAnsi="Arial" w:eastAsia="Arial" w:cs="Arial"/>
          <w:b/>
          <w:color w:val="081827"/>
          <w:sz w:val="50"/>
          <w:rtl w:val="1"/>
        </w:rPr>
        <w:t>تطبيق الجمعيات والخدمات المجتمعية</w:t>
      </w:r>
    </w:p>
    <w:p>
      <w:pPr>
        <w:spacing w:after="320" w:line="288" w:lineRule="auto"/>
        <w:jc w:val="right"/>
        <w:bidi w:val="1"/>
      </w:pPr>
      <w:r>
        <w:rPr>
          <w:rFonts w:ascii="Arial" w:hAnsi="Arial" w:eastAsia="Arial" w:cs="Arial"/>
          <w:b/>
          <w:color w:val="0F7C86"/>
          <w:sz w:val="26"/>
          <w:rtl w:val="1"/>
        </w:rPr>
        <w:t>خدمات المجتمع أقرب لمن يحتاجها.</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الفئة</w:t>
            </w:r>
          </w:p>
          <w:p>
            <w:pPr>
              <w:spacing w:after="0"/>
              <w:jc w:val="center"/>
              <w:bidi w:val="1"/>
            </w:pPr>
            <w:r>
              <w:rPr>
                <w:rFonts w:ascii="Arial" w:hAnsi="Arial" w:eastAsia="Arial" w:cs="Arial"/>
                <w:b/>
                <w:color w:val="FFFFFF"/>
                <w:sz w:val="21"/>
                <w:rtl w:val="1"/>
              </w:rPr>
              <w:t>المؤسسات والمجتمعات</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السعر الابتدائي المقترح</w:t>
            </w:r>
          </w:p>
          <w:p>
            <w:pPr>
              <w:spacing w:after="0"/>
              <w:jc w:val="center"/>
              <w:bidi w:val="1"/>
            </w:pPr>
            <w:r>
              <w:rPr>
                <w:rFonts w:ascii="Arial" w:hAnsi="Arial" w:eastAsia="Arial" w:cs="Arial"/>
                <w:b/>
                <w:color w:val="FFFFFF"/>
                <w:sz w:val="21"/>
                <w:rtl w:val="1"/>
              </w:rPr>
              <w:t>52,000 جنيه مصري</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نماذج عامة تمت مراجعتها</w:t>
            </w:r>
          </w:p>
          <w:p>
            <w:pPr>
              <w:spacing w:after="0"/>
              <w:jc w:val="center"/>
              <w:bidi w:val="1"/>
            </w:pPr>
            <w:r>
              <w:rPr>
                <w:rFonts w:ascii="Arial" w:hAnsi="Arial" w:eastAsia="Arial" w:cs="Arial"/>
                <w:b/>
                <w:color w:val="FFFFFF"/>
                <w:sz w:val="21"/>
                <w:rtl w:val="1"/>
              </w:rPr>
              <w:t>4</w:t>
            </w:r>
          </w:p>
        </w:tc>
      </w:tr>
    </w:tbl>
    <w:p>
      <w:pPr>
        <w:spacing w:after="40"/>
      </w:pPr>
    </w:p>
    <w:p>
      <w:pPr>
        <w:spacing w:before="80" w:after="240" w:line="300" w:lineRule="auto"/>
        <w:ind w:left="173" w:right="173"/>
        <w:jc w:val="right"/>
        <w:bidi w:val="1"/>
        <w:shd w:fill="EAFBFD"/>
        <w:pBdr>
          <w:right w:val="single" w:sz="28" w:space="8" w:color="0F7C86"/>
        </w:pBdr>
      </w:pPr>
      <w:r>
        <w:rPr>
          <w:rFonts w:ascii="Arial" w:hAnsi="Arial" w:eastAsia="Arial" w:cs="Arial"/>
          <w:b/>
          <w:color w:val="0F7C86"/>
          <w:sz w:val="21"/>
          <w:rtl w:val="1"/>
        </w:rPr>
        <w:t xml:space="preserve">الفكرة في سطرين  </w:t>
      </w:r>
      <w:r>
        <w:rPr>
          <w:rFonts w:ascii="Arial" w:hAnsi="Arial" w:eastAsia="Arial" w:cs="Arial"/>
          <w:color w:val="143044"/>
          <w:sz w:val="21"/>
          <w:rtl w:val="1"/>
        </w:rPr>
        <w:t>تطبيق يربط المستفيدين بالجمعيات والخدمات والقطاعات القريبة، مع ملفات وتعريفات ومعلومات موجهة حسب الموقع الجغرافي. صُمم الحل ليعالج مباشرةً مشكلة صعوبة وصول المستفيد إلى الخدمات والجهة المناسبة في مكانه. ويمنح الإدارة نقطة تحكم واضحة قابلة للتخصيص والتوسع.</w:t>
      </w:r>
    </w:p>
    <w:p>
      <w:pPr>
        <w:pStyle w:val="Heading1"/>
        <w:jc w:val="right"/>
        <w:bidi w:val="1"/>
      </w:pPr>
      <w:r>
        <w:rPr>
          <w:rFonts w:ascii="Arial" w:hAnsi="Arial" w:eastAsia="Arial" w:cs="Arial"/>
          <w:b/>
          <w:color w:val="0F7C86"/>
          <w:sz w:val="32"/>
          <w:rtl w:val="1"/>
        </w:rPr>
        <w:t>ما الذي يستطيع المنتج تنفيذه؟</w:t>
      </w:r>
    </w:p>
    <w:p>
      <w:pPr>
        <w:spacing w:after="80" w:line="290" w:lineRule="auto"/>
        <w:jc w:val="right"/>
        <w:bidi w:val="1"/>
        <w:numPr>
          <w:ilvl w:val="0"/>
          <w:numId w:val="10"/>
        </w:numPr>
      </w:pPr>
      <w:r>
        <w:rPr>
          <w:rFonts w:ascii="Arial" w:hAnsi="Arial" w:eastAsia="Arial" w:cs="Arial"/>
          <w:color w:val="143044"/>
          <w:sz w:val="22"/>
          <w:rtl w:val="1"/>
        </w:rPr>
        <w:t>دليل جهات وخدمات</w:t>
      </w:r>
    </w:p>
    <w:p>
      <w:pPr>
        <w:spacing w:after="80" w:line="290" w:lineRule="auto"/>
        <w:jc w:val="right"/>
        <w:bidi w:val="1"/>
        <w:numPr>
          <w:ilvl w:val="0"/>
          <w:numId w:val="10"/>
        </w:numPr>
      </w:pPr>
      <w:r>
        <w:rPr>
          <w:rFonts w:ascii="Arial" w:hAnsi="Arial" w:eastAsia="Arial" w:cs="Arial"/>
          <w:color w:val="143044"/>
          <w:sz w:val="22"/>
          <w:rtl w:val="1"/>
        </w:rPr>
        <w:t>تخصيص جغرافي</w:t>
      </w:r>
    </w:p>
    <w:p>
      <w:pPr>
        <w:spacing w:after="80" w:line="290" w:lineRule="auto"/>
        <w:jc w:val="right"/>
        <w:bidi w:val="1"/>
        <w:numPr>
          <w:ilvl w:val="0"/>
          <w:numId w:val="10"/>
        </w:numPr>
      </w:pPr>
      <w:r>
        <w:rPr>
          <w:rFonts w:ascii="Arial" w:hAnsi="Arial" w:eastAsia="Arial" w:cs="Arial"/>
          <w:color w:val="143044"/>
          <w:sz w:val="22"/>
          <w:rtl w:val="1"/>
        </w:rPr>
        <w:t>وصول أفضل للمستفيدين</w:t>
      </w:r>
    </w:p>
    <w:p>
      <w:pPr>
        <w:spacing w:after="80" w:line="290" w:lineRule="auto"/>
        <w:jc w:val="right"/>
        <w:bidi w:val="1"/>
        <w:numPr>
          <w:ilvl w:val="0"/>
          <w:numId w:val="10"/>
        </w:numPr>
      </w:pPr>
      <w:r>
        <w:rPr>
          <w:rFonts w:ascii="Arial" w:hAnsi="Arial" w:eastAsia="Arial" w:cs="Arial"/>
          <w:color w:val="143044"/>
          <w:sz w:val="22"/>
          <w:rtl w:val="1"/>
        </w:rPr>
        <w:t>دليل منظم للجمعيات والجهات والخدمات</w:t>
      </w:r>
    </w:p>
    <w:p>
      <w:pPr>
        <w:spacing w:after="80" w:line="290" w:lineRule="auto"/>
        <w:jc w:val="right"/>
        <w:bidi w:val="1"/>
        <w:numPr>
          <w:ilvl w:val="0"/>
          <w:numId w:val="10"/>
        </w:numPr>
      </w:pPr>
      <w:r>
        <w:rPr>
          <w:rFonts w:ascii="Arial" w:hAnsi="Arial" w:eastAsia="Arial" w:cs="Arial"/>
          <w:color w:val="143044"/>
          <w:sz w:val="22"/>
          <w:rtl w:val="1"/>
        </w:rPr>
        <w:t>عرض المحتوى حسب المدينة أو الموقع</w:t>
      </w:r>
    </w:p>
    <w:p>
      <w:pPr>
        <w:spacing w:after="80" w:line="290" w:lineRule="auto"/>
        <w:jc w:val="right"/>
        <w:bidi w:val="1"/>
        <w:numPr>
          <w:ilvl w:val="0"/>
          <w:numId w:val="10"/>
        </w:numPr>
      </w:pPr>
      <w:r>
        <w:rPr>
          <w:rFonts w:ascii="Arial" w:hAnsi="Arial" w:eastAsia="Arial" w:cs="Arial"/>
          <w:color w:val="143044"/>
          <w:sz w:val="22"/>
          <w:rtl w:val="1"/>
        </w:rPr>
        <w:t>ملفات تعريف ووسائل تواصل لكل جهة</w:t>
      </w:r>
    </w:p>
    <w:p>
      <w:pPr>
        <w:spacing w:after="80" w:line="290" w:lineRule="auto"/>
        <w:jc w:val="right"/>
        <w:bidi w:val="1"/>
        <w:numPr>
          <w:ilvl w:val="0"/>
          <w:numId w:val="10"/>
        </w:numPr>
      </w:pPr>
      <w:r>
        <w:rPr>
          <w:rFonts w:ascii="Arial" w:hAnsi="Arial" w:eastAsia="Arial" w:cs="Arial"/>
          <w:color w:val="143044"/>
          <w:sz w:val="22"/>
          <w:rtl w:val="1"/>
        </w:rPr>
        <w:t>إدارة مركزية للتحديثات والقبول والتصنيفات</w:t>
      </w:r>
    </w:p>
    <w:p>
      <w:pPr>
        <w:pStyle w:val="Heading1"/>
        <w:jc w:val="right"/>
        <w:bidi w:val="1"/>
      </w:pPr>
      <w:r>
        <w:rPr>
          <w:rFonts w:ascii="Arial" w:hAnsi="Arial" w:eastAsia="Arial" w:cs="Arial"/>
          <w:b/>
          <w:color w:val="0F7C86"/>
          <w:sz w:val="32"/>
          <w:rtl w:val="1"/>
        </w:rPr>
        <w:t>القيمة التجارية لصاحب المشروع</w:t>
      </w:r>
    </w:p>
    <w:p>
      <w:pPr>
        <w:spacing w:after="80" w:line="290" w:lineRule="auto"/>
        <w:jc w:val="right"/>
        <w:bidi w:val="1"/>
        <w:numPr>
          <w:ilvl w:val="0"/>
          <w:numId w:val="10"/>
        </w:numPr>
      </w:pPr>
      <w:r>
        <w:rPr>
          <w:rFonts w:ascii="Arial" w:hAnsi="Arial" w:eastAsia="Arial" w:cs="Arial"/>
          <w:color w:val="143044"/>
          <w:sz w:val="22"/>
          <w:rtl w:val="1"/>
        </w:rPr>
        <w:t>رفع المشاركة والوصول داخل المجتمع</w:t>
      </w:r>
    </w:p>
    <w:p>
      <w:pPr>
        <w:spacing w:after="80" w:line="290" w:lineRule="auto"/>
        <w:jc w:val="right"/>
        <w:bidi w:val="1"/>
        <w:numPr>
          <w:ilvl w:val="0"/>
          <w:numId w:val="10"/>
        </w:numPr>
      </w:pPr>
      <w:r>
        <w:rPr>
          <w:rFonts w:ascii="Arial" w:hAnsi="Arial" w:eastAsia="Arial" w:cs="Arial"/>
          <w:color w:val="143044"/>
          <w:sz w:val="22"/>
          <w:rtl w:val="1"/>
        </w:rPr>
        <w:t>حماية ملكية المؤسسة لبيانات أعضائها</w:t>
      </w:r>
    </w:p>
    <w:p>
      <w:pPr>
        <w:spacing w:after="80" w:line="290" w:lineRule="auto"/>
        <w:jc w:val="right"/>
        <w:bidi w:val="1"/>
        <w:numPr>
          <w:ilvl w:val="0"/>
          <w:numId w:val="10"/>
        </w:numPr>
      </w:pPr>
      <w:r>
        <w:rPr>
          <w:rFonts w:ascii="Arial" w:hAnsi="Arial" w:eastAsia="Arial" w:cs="Arial"/>
          <w:color w:val="143044"/>
          <w:sz w:val="22"/>
          <w:rtl w:val="1"/>
        </w:rPr>
        <w:t>تنظيم التواصل والصلاحيات في قناة رسمية</w:t>
      </w:r>
    </w:p>
    <w:p>
      <w:pPr>
        <w:spacing w:after="80" w:line="290" w:lineRule="auto"/>
        <w:jc w:val="right"/>
        <w:bidi w:val="1"/>
        <w:numPr>
          <w:ilvl w:val="0"/>
          <w:numId w:val="10"/>
        </w:numPr>
      </w:pPr>
      <w:r>
        <w:rPr>
          <w:rFonts w:ascii="Arial" w:hAnsi="Arial" w:eastAsia="Arial" w:cs="Arial"/>
          <w:color w:val="143044"/>
          <w:sz w:val="22"/>
          <w:rtl w:val="1"/>
        </w:rPr>
        <w:t>حل قابل لإعادة التقديم بعلامتك التجارية بدل البدء من الصفر، مع تحديد النطاق النهائي حسب احتياجك.</w:t>
      </w:r>
    </w:p>
    <w:p>
      <w:r>
        <w:br w:type="page"/>
      </w:r>
    </w:p>
    <w:p>
      <w:pPr>
        <w:pStyle w:val="Heading1"/>
        <w:jc w:val="right"/>
        <w:bidi w:val="1"/>
      </w:pPr>
      <w:r>
        <w:rPr>
          <w:rFonts w:ascii="Arial" w:hAnsi="Arial" w:eastAsia="Arial" w:cs="Arial"/>
          <w:b/>
          <w:color w:val="0F7C86"/>
          <w:sz w:val="32"/>
          <w:rtl w:val="1"/>
        </w:rPr>
        <w:t>أين يمكن استخدامه؟</w:t>
      </w:r>
    </w:p>
    <w:p>
      <w:pPr>
        <w:spacing w:after="80" w:line="290" w:lineRule="auto"/>
        <w:jc w:val="right"/>
        <w:bidi w:val="1"/>
        <w:numPr>
          <w:ilvl w:val="0"/>
          <w:numId w:val="10"/>
        </w:numPr>
      </w:pPr>
      <w:r>
        <w:rPr>
          <w:rFonts w:ascii="Arial" w:hAnsi="Arial" w:eastAsia="Arial" w:cs="Arial"/>
          <w:color w:val="143044"/>
          <w:sz w:val="22"/>
          <w:rtl w:val="1"/>
        </w:rPr>
        <w:t>جمعية تنشر خدماتها للمستفيدين</w:t>
      </w:r>
    </w:p>
    <w:p>
      <w:pPr>
        <w:spacing w:after="80" w:line="290" w:lineRule="auto"/>
        <w:jc w:val="right"/>
        <w:bidi w:val="1"/>
        <w:numPr>
          <w:ilvl w:val="0"/>
          <w:numId w:val="10"/>
        </w:numPr>
      </w:pPr>
      <w:r>
        <w:rPr>
          <w:rFonts w:ascii="Arial" w:hAnsi="Arial" w:eastAsia="Arial" w:cs="Arial"/>
          <w:color w:val="143044"/>
          <w:sz w:val="22"/>
          <w:rtl w:val="1"/>
        </w:rPr>
        <w:t>مبادرة تربط المواطن بالجهة المناسبة</w:t>
      </w:r>
    </w:p>
    <w:p>
      <w:pPr>
        <w:spacing w:after="80" w:line="290" w:lineRule="auto"/>
        <w:jc w:val="right"/>
        <w:bidi w:val="1"/>
        <w:numPr>
          <w:ilvl w:val="0"/>
          <w:numId w:val="10"/>
        </w:numPr>
      </w:pPr>
      <w:r>
        <w:rPr>
          <w:rFonts w:ascii="Arial" w:hAnsi="Arial" w:eastAsia="Arial" w:cs="Arial"/>
          <w:color w:val="143044"/>
          <w:sz w:val="22"/>
          <w:rtl w:val="1"/>
        </w:rPr>
        <w:t>شبكة منظمات تعرض الخدمات حسب الموقع</w:t>
      </w:r>
    </w:p>
    <w:p>
      <w:pPr>
        <w:pStyle w:val="Heading1"/>
        <w:jc w:val="right"/>
        <w:bidi w:val="1"/>
      </w:pPr>
      <w:r>
        <w:rPr>
          <w:rFonts w:ascii="Arial" w:hAnsi="Arial" w:eastAsia="Arial" w:cs="Arial"/>
          <w:b/>
          <w:color w:val="0F7C86"/>
          <w:sz w:val="32"/>
          <w:rtl w:val="1"/>
        </w:rPr>
        <w:t>ما الذي يمكن تخصيصه؟</w:t>
      </w:r>
    </w:p>
    <w:p>
      <w:pPr>
        <w:spacing w:after="80" w:line="290" w:lineRule="auto"/>
        <w:jc w:val="right"/>
        <w:bidi w:val="1"/>
        <w:numPr>
          <w:ilvl w:val="0"/>
          <w:numId w:val="10"/>
        </w:numPr>
      </w:pPr>
      <w:r>
        <w:rPr>
          <w:rFonts w:ascii="Arial" w:hAnsi="Arial" w:eastAsia="Arial" w:cs="Arial"/>
          <w:color w:val="143044"/>
          <w:sz w:val="22"/>
          <w:rtl w:val="1"/>
        </w:rPr>
        <w:t>الاسم والهوية والألوان والنطاقات وتجربة الاستخدام.</w:t>
      </w:r>
    </w:p>
    <w:p>
      <w:pPr>
        <w:spacing w:after="80" w:line="290" w:lineRule="auto"/>
        <w:jc w:val="right"/>
        <w:bidi w:val="1"/>
        <w:numPr>
          <w:ilvl w:val="0"/>
          <w:numId w:val="10"/>
        </w:numPr>
      </w:pPr>
      <w:r>
        <w:rPr>
          <w:rFonts w:ascii="Arial" w:hAnsi="Arial" w:eastAsia="Arial" w:cs="Arial"/>
          <w:color w:val="143044"/>
          <w:sz w:val="22"/>
          <w:rtl w:val="1"/>
        </w:rPr>
        <w:t>النماذج والحقول وخطوات العمل والموافقات بما يناسب نشاطك.</w:t>
      </w:r>
    </w:p>
    <w:p>
      <w:pPr>
        <w:spacing w:after="80" w:line="290" w:lineRule="auto"/>
        <w:jc w:val="right"/>
        <w:bidi w:val="1"/>
        <w:numPr>
          <w:ilvl w:val="0"/>
          <w:numId w:val="10"/>
        </w:numPr>
      </w:pPr>
      <w:r>
        <w:rPr>
          <w:rFonts w:ascii="Arial" w:hAnsi="Arial" w:eastAsia="Arial" w:cs="Arial"/>
          <w:color w:val="143044"/>
          <w:sz w:val="22"/>
          <w:rtl w:val="1"/>
        </w:rPr>
        <w:t>الأدوار والصلاحيات ولوحات الإدارة والتقارير.</w:t>
      </w:r>
    </w:p>
    <w:p>
      <w:pPr>
        <w:spacing w:after="80" w:line="290" w:lineRule="auto"/>
        <w:jc w:val="right"/>
        <w:bidi w:val="1"/>
        <w:numPr>
          <w:ilvl w:val="0"/>
          <w:numId w:val="10"/>
        </w:numPr>
      </w:pPr>
      <w:r>
        <w:rPr>
          <w:rFonts w:ascii="Arial" w:hAnsi="Arial" w:eastAsia="Arial" w:cs="Arial"/>
          <w:color w:val="143044"/>
          <w:sz w:val="22"/>
          <w:rtl w:val="1"/>
        </w:rPr>
        <w:t>الإشعارات ووسائل الدفع والتكاملات الخارجية بحسب المتاح والنطاق المتفق عليه.</w:t>
      </w:r>
    </w:p>
    <w:p>
      <w:pPr>
        <w:pStyle w:val="Heading1"/>
        <w:jc w:val="right"/>
        <w:bidi w:val="1"/>
      </w:pPr>
      <w:r>
        <w:rPr>
          <w:rFonts w:ascii="Arial" w:hAnsi="Arial" w:eastAsia="Arial" w:cs="Arial"/>
          <w:b/>
          <w:color w:val="0F7C86"/>
          <w:sz w:val="32"/>
          <w:rtl w:val="1"/>
        </w:rPr>
        <w:t>طريقة الإطلاق</w:t>
      </w:r>
    </w:p>
    <w:p>
      <w:pPr>
        <w:spacing w:after="80" w:line="290" w:lineRule="auto"/>
        <w:jc w:val="right"/>
        <w:bidi w:val="1"/>
        <w:numPr>
          <w:ilvl w:val="0"/>
          <w:numId w:val="11"/>
        </w:numPr>
      </w:pPr>
      <w:r>
        <w:rPr>
          <w:rFonts w:ascii="Arial" w:hAnsi="Arial" w:eastAsia="Arial" w:cs="Arial"/>
          <w:color w:val="143044"/>
          <w:sz w:val="22"/>
          <w:rtl w:val="1"/>
        </w:rPr>
        <w:t>جلسة تحديد الهدف والجمهور ودورة العمل الحالية.</w:t>
      </w:r>
    </w:p>
    <w:p>
      <w:pPr>
        <w:spacing w:after="80" w:line="290" w:lineRule="auto"/>
        <w:jc w:val="right"/>
        <w:bidi w:val="1"/>
        <w:numPr>
          <w:ilvl w:val="0"/>
          <w:numId w:val="11"/>
        </w:numPr>
      </w:pPr>
      <w:r>
        <w:rPr>
          <w:rFonts w:ascii="Arial" w:hAnsi="Arial" w:eastAsia="Arial" w:cs="Arial"/>
          <w:color w:val="143044"/>
          <w:sz w:val="22"/>
          <w:rtl w:val="1"/>
        </w:rPr>
        <w:t>تثبيت نطاق النسخة الأولى والهوية والتكاملات المطلوبة.</w:t>
      </w:r>
    </w:p>
    <w:p>
      <w:pPr>
        <w:spacing w:after="80" w:line="290" w:lineRule="auto"/>
        <w:jc w:val="right"/>
        <w:bidi w:val="1"/>
        <w:numPr>
          <w:ilvl w:val="0"/>
          <w:numId w:val="11"/>
        </w:numPr>
      </w:pPr>
      <w:r>
        <w:rPr>
          <w:rFonts w:ascii="Arial" w:hAnsi="Arial" w:eastAsia="Arial" w:cs="Arial"/>
          <w:color w:val="143044"/>
          <w:sz w:val="22"/>
          <w:rtl w:val="1"/>
        </w:rPr>
        <w:t>التخصيص والاختبار والمراجعة على بيانات وسيناريوهات حقيقية.</w:t>
      </w:r>
    </w:p>
    <w:p>
      <w:pPr>
        <w:spacing w:after="80" w:line="290" w:lineRule="auto"/>
        <w:jc w:val="right"/>
        <w:bidi w:val="1"/>
        <w:numPr>
          <w:ilvl w:val="0"/>
          <w:numId w:val="11"/>
        </w:numPr>
      </w:pPr>
      <w:r>
        <w:rPr>
          <w:rFonts w:ascii="Arial" w:hAnsi="Arial" w:eastAsia="Arial" w:cs="Arial"/>
          <w:color w:val="143044"/>
          <w:sz w:val="22"/>
          <w:rtl w:val="1"/>
        </w:rPr>
        <w:t>الإطلاق والتسليم والتدريب ثم الدعم وفق الباقة المتفق عليها.</w:t>
      </w:r>
    </w:p>
    <w:p>
      <w:pPr>
        <w:pStyle w:val="Heading1"/>
        <w:jc w:val="right"/>
        <w:bidi w:val="1"/>
      </w:pPr>
      <w:r>
        <w:rPr>
          <w:rFonts w:ascii="Arial" w:hAnsi="Arial" w:eastAsia="Arial" w:cs="Arial"/>
          <w:b/>
          <w:color w:val="0F7C86"/>
          <w:sz w:val="32"/>
          <w:rtl w:val="1"/>
        </w:rPr>
        <w:t>نماذج تنفيذ وروابط عامة</w:t>
      </w:r>
    </w:p>
    <w:p>
      <w:pPr>
        <w:spacing w:after="100"/>
        <w:jc w:val="right"/>
        <w:bidi w:val="1"/>
      </w:pPr>
      <w:hyperlink r:id="rId11">
        <w:r>
          <w:rPr>
            <w:rFonts w:ascii="Arial" w:hAnsi="Arial" w:eastAsia="Arial" w:cs="Arial"/>
            <w:color w:val="0F7C86"/>
            <w:b/>
            <w:u w:val="single"/>
            <w:rtl w:val="1"/>
          </w:rPr>
          <w:t>ASEU - NGO</w:t>
        </w:r>
      </w:hyperlink>
    </w:p>
    <w:p>
      <w:pPr>
        <w:spacing w:after="100"/>
        <w:jc w:val="right"/>
        <w:bidi w:val="1"/>
      </w:pPr>
      <w:hyperlink r:id="rId12">
        <w:r>
          <w:rPr>
            <w:rFonts w:ascii="Arial" w:hAnsi="Arial" w:eastAsia="Arial" w:cs="Arial"/>
            <w:color w:val="0F7C86"/>
            <w:b/>
            <w:u w:val="single"/>
            <w:rtl w:val="1"/>
          </w:rPr>
          <w:t>خدام الوطن</w:t>
        </w:r>
      </w:hyperlink>
    </w:p>
    <w:p>
      <w:pPr>
        <w:spacing w:after="100"/>
        <w:jc w:val="right"/>
        <w:bidi w:val="1"/>
      </w:pPr>
      <w:hyperlink r:id="rId13">
        <w:r>
          <w:rPr>
            <w:rFonts w:ascii="Arial" w:hAnsi="Arial" w:eastAsia="Arial" w:cs="Arial"/>
            <w:color w:val="0F7C86"/>
            <w:b/>
            <w:u w:val="single"/>
            <w:rtl w:val="1"/>
          </w:rPr>
          <w:t>خدمات المواطن</w:t>
        </w:r>
      </w:hyperlink>
    </w:p>
    <w:p>
      <w:pPr>
        <w:pStyle w:val="Heading1"/>
        <w:jc w:val="right"/>
        <w:bidi w:val="1"/>
      </w:pPr>
      <w:r>
        <w:rPr>
          <w:rFonts w:ascii="Arial" w:hAnsi="Arial" w:eastAsia="Arial" w:cs="Arial"/>
          <w:b/>
          <w:color w:val="0F7C86"/>
          <w:sz w:val="32"/>
          <w:rtl w:val="1"/>
        </w:rPr>
        <w:t>الاستثمار والخطوة التالية</w:t>
      </w:r>
    </w:p>
    <w:p>
      <w:pPr>
        <w:spacing w:after="160" w:line="320" w:lineRule="auto"/>
        <w:jc w:val="right"/>
        <w:bidi w:val="1"/>
      </w:pPr>
      <w:r>
        <w:rPr>
          <w:rFonts w:ascii="Arial" w:hAnsi="Arial" w:eastAsia="Arial" w:cs="Arial"/>
          <w:color w:val="143044"/>
          <w:sz w:val="22"/>
          <w:rtl w:val="1"/>
        </w:rPr>
        <w:t>يبدأ السعر المقترح من 52,000 جنيه مصري للترخيص الأساسي. ترخيص مؤسسي أو مشروع ممول. التخصيصات الكبيرة والتكاملات والاستضافة والدعم تُسعّر بعد تثبيت النطاق.</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ابدأ الشراء  </w:t>
      </w:r>
      <w:r>
        <w:rPr>
          <w:rFonts w:ascii="Arial" w:hAnsi="Arial" w:eastAsia="Arial" w:cs="Arial"/>
          <w:color w:val="143044"/>
          <w:sz w:val="21"/>
          <w:rtl w:val="1"/>
        </w:rPr>
        <w:t>افتح صفحة الشراء الآمنة لهذا المنتج داخل متجر أركان الحكمة، ثم أكمل بيانات الطلب وطريقة الدفع المناسبة.</w:t>
      </w:r>
      <w:hyperlink r:id="rId14">
        <w:r>
          <w:rPr>
            <w:rFonts w:ascii="Arial" w:hAnsi="Arial" w:eastAsia="Arial" w:cs="Arial"/>
            <w:color w:val="C8932F"/>
            <w:b/>
            <w:u w:val="single"/>
            <w:rtl w:val="1"/>
          </w:rPr>
          <w:t>  شراء المنتج من المتجر</w:t>
        </w:r>
      </w:hyperlink>
    </w:p>
    <w:p>
      <w:pPr>
        <w:spacing w:after="160"/>
        <w:jc w:val="right"/>
        <w:bidi w:val="1"/>
      </w:pPr>
      <w:hyperlink r:id="rId15">
        <w:r>
          <w:rPr>
            <w:rFonts w:ascii="Arial" w:hAnsi="Arial" w:eastAsia="Arial" w:cs="Arial"/>
            <w:color w:val="0F7C86"/>
            <w:b/>
            <w:u w:val="single"/>
            <w:rtl w:val="1"/>
          </w:rPr>
          <w:t>صفحة تفاصيل المنتج</w:t>
        </w:r>
      </w:hyperlink>
      <w:r>
        <w:rPr>
          <w:rFonts w:ascii="Arial" w:hAnsi="Arial" w:eastAsia="Arial" w:cs="Arial"/>
          <w:color w:val="657681"/>
          <w:sz w:val="20"/>
          <w:rtl w:val="1"/>
        </w:rPr>
        <w:t xml:space="preserve">   |   </w:t>
      </w:r>
      <w:hyperlink r:id="rId16">
        <w:r>
          <w:rPr>
            <w:rFonts w:ascii="Arial" w:hAnsi="Arial" w:eastAsia="Arial" w:cs="Arial"/>
            <w:color w:val="0F7C86"/>
            <w:b/>
            <w:u w:val="single"/>
            <w:rtl w:val="1"/>
          </w:rPr>
          <w:t>المتجر الرقمي</w:t>
        </w:r>
      </w:hyperlink>
    </w:p>
    <w:p>
      <w:pPr>
        <w:spacing w:before="160" w:after="0"/>
        <w:jc w:val="right"/>
        <w:bidi w:val="1"/>
      </w:pPr>
      <w:r>
        <w:rPr>
          <w:rFonts w:ascii="Arial" w:hAnsi="Arial" w:eastAsia="Arial" w:cs="Arial"/>
          <w:i/>
          <w:color w:val="657681"/>
          <w:sz w:val="17"/>
          <w:rtl w:val="1"/>
        </w:rPr>
        <w:t>تنبيه مهني: هذا الملف يشرح الإمكانات القابلة للتقديم بناءً على الكتالوج ونماذج العرض العامة المتاحة وقت المراجعة. المواصفات النهائية وموعد التسليم والسعر الملزم تُثبت بعد تحليل المشروع واعتماد النطاق.</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eastAsia="Arial" w:cs="Arial"/>
        <w:color w:val="657681"/>
        <w:sz w:val="17"/>
        <w:rtl w:val="1"/>
      </w:rPr>
      <w:t xml:space="preserve">arkanalhekma.com  |  </w:t>
    </w:r>
    <w:r>
      <w:rPr>
        <w:rFonts w:ascii="Arial" w:hAnsi="Arial" w:eastAsia="Arial" w:cs="Arial"/>
        <w:color w:val="657681"/>
        <w:sz w:val="17"/>
        <w:rtl w:val="1"/>
      </w:rPr>
      <w:t xml:space="preserve">الصفحة </w:t>
    </w:r>
    <w:r>
      <w:rPr>
        <w:rFonts w:ascii="Arial" w:hAnsi="Arial" w:eastAsia="Arial" w:cs="Arial"/>
        <w:color w:val="657681"/>
        <w:sz w:val="17"/>
        <w:rtl w:val="1"/>
      </w:rPr>
      <w:fldChar w:fldCharType="begin"/>
      <w:instrText xml:space="preserve"> PAGE </w:instrText>
      <w:fldChar w:fldCharType="separate"/>
      <w:t>1</w:t>
      <w:fldChar w:fldCharType="end"/>
    </w:r>
    <w:r>
      <w:rPr>
        <w:rFonts w:ascii="Arial" w:hAnsi="Arial" w:eastAsia="Arial" w:cs="Arial"/>
        <w:color w:val="657681"/>
        <w:sz w:val="17"/>
        <w:rtl w:val="1"/>
      </w:rPr>
      <w:t xml:space="preserve">  |  تطبيق الجمعيات والخدمات المجتمعية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color w:val="657681"/>
        <w:sz w:val="17"/>
        <w:rtl w:val="1"/>
      </w:rPr>
      <w:t>أركان الحكمة  |  دليل خصائص المنتج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right"/>
      <w:pPr>
        <w:spacing w:after="80" w:line="290" w:lineRule="auto"/>
        <w:ind w:left="540" w:hanging="280"/>
        <w:bidi w:val="1"/>
      </w:pPr>
      <w:rPr>
        <w:rFonts w:ascii="Arial" w:hAnsi="Arial" w:eastAsia="Arial" w:cs="Arial"/>
        <w:color w:val="0F7C86"/>
      </w:rPr>
    </w:lvl>
  </w:abstractNum>
  <w:num w:numId="10">
    <w:abstractNumId w:val="9"/>
  </w:num>
  <w:abstractNum w:abstractNumId="10">
    <w:multiLevelType w:val="singleLevel"/>
    <w:lvl w:ilvl="0">
      <w:start w:val="1"/>
      <w:numFmt w:val="decimal"/>
      <w:lvlText w:val="%1."/>
      <w:lvlJc w:val="right"/>
      <w:pPr>
        <w:spacing w:after="80" w:line="290" w:lineRule="auto"/>
        <w:ind w:left="540" w:hanging="280"/>
        <w:bidi w:val="1"/>
      </w:pPr>
      <w:rPr>
        <w:rFonts w:ascii="Arial" w:hAnsi="Arial" w:eastAsia="Arial" w:cs="Arial"/>
        <w:color w:val="C8932F"/>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bidi w:val="1"/>
    </w:pPr>
    <w:rPr>
      <w:rFonts w:ascii="Arial" w:hAnsi="Arial" w:eastAsia="Arial" w:cs="Arial"/>
      <w:b w:val="0"/>
      <w:color w:val="1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bidi w:val="1"/>
    </w:pPr>
    <w:rPr>
      <w:rFonts w:asciiTheme="majorHAnsi" w:eastAsiaTheme="majorEastAsia" w:hAnsiTheme="majorHAnsi" w:cstheme="majorBidi" w:ascii="Arial" w:hAnsi="Arial" w:eastAsia="Arial" w:cs="Arial"/>
      <w:b/>
      <w:bCs/>
      <w:color w:val="0F7C86"/>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bidi w:val="1"/>
    </w:pPr>
    <w:rPr>
      <w:rFonts w:asciiTheme="majorHAnsi" w:eastAsiaTheme="majorEastAsia" w:hAnsiTheme="majorHAnsi" w:cstheme="majorBidi" w:ascii="Arial" w:hAnsi="Arial" w:eastAsia="Arial" w:cs="Arial"/>
      <w:b/>
      <w:bCs/>
      <w:color w:val="081827"/>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bidi w:val="1"/>
    </w:pPr>
    <w:rPr>
      <w:rFonts w:asciiTheme="majorHAnsi" w:eastAsiaTheme="majorEastAsia" w:hAnsiTheme="majorHAnsi" w:cstheme="majorBidi" w:ascii="Arial" w:hAnsi="Arial" w:eastAsia="Arial" w:cs="Arial"/>
      <w:b/>
      <w:bCs/>
      <w:color w:val="0818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play.google.com/store/apps/details?id=com.alhekma.aseungo" TargetMode="External"/><Relationship Id="rId12" Type="http://schemas.openxmlformats.org/officeDocument/2006/relationships/hyperlink" Target="https://play.google.com/store/apps/details?id=com.alhekma.khadamatproviders" TargetMode="External"/><Relationship Id="rId13" Type="http://schemas.openxmlformats.org/officeDocument/2006/relationships/hyperlink" Target="https://play.google.com/store/apps/details?id=com.alhekmalabs.alexservices" TargetMode="External"/><Relationship Id="rId14" Type="http://schemas.openxmlformats.org/officeDocument/2006/relationships/hyperlink" Target="https://arkanalhekma.com/checkout/associations-community-services-app/" TargetMode="External"/><Relationship Id="rId15" Type="http://schemas.openxmlformats.org/officeDocument/2006/relationships/hyperlink" Target="https://arkanalhekma.com/product/associations-community-services-app/" TargetMode="External"/><Relationship Id="rId16" Type="http://schemas.openxmlformats.org/officeDocument/2006/relationships/hyperlink" Target="https://arkanalhek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خصائص المنتج - تطبيق الجمعيات والخدمات المجتمعية</dc:title>
  <dc:subject>دليل بيعي لمنتج رقمي من أركان الحكمة</dc:subject>
  <dc:creator/>
  <cp:keywords>أركان الحكمة، منتج رقمي، خصائص المنتج</cp:keywords>
  <dc:description/>
  <cp:lastModifiedBy/>
  <cp:revision>1</cp:revision>
  <dcterms:created xsi:type="dcterms:W3CDTF">2013-12-23T23:15:00Z</dcterms:created>
  <dcterms:modified xsi:type="dcterms:W3CDTF">2013-12-23T23:15:00Z</dcterms:modified>
  <cp:category/>
</cp:coreProperties>
</file>