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بوابة الكليات والبرامج الأكاديمية</w:t>
      </w:r>
    </w:p>
    <w:p>
      <w:pPr>
        <w:spacing w:after="320" w:line="288" w:lineRule="auto"/>
        <w:jc w:val="right"/>
        <w:bidi w:val="1"/>
      </w:pPr>
      <w:r>
        <w:rPr>
          <w:rFonts w:ascii="Arial" w:hAnsi="Arial" w:eastAsia="Arial" w:cs="Arial"/>
          <w:b/>
          <w:color w:val="0F7C86"/>
          <w:sz w:val="26"/>
          <w:rtl w:val="1"/>
        </w:rPr>
        <w:t>اجعل اختيار المسار الأكاديمي أوضح وأسهل.</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التعليم والتدريب</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60,000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بوابة منظمة تعرض الكليات والبرامج وأعضاء هيئة التدريس والورش والقاعات، وتساعد الطالب على استكشاف الفرص التعليمية. صُمم الحل ليعالج مباشرةً مشكلة صعوبة اكتشاف البرامج والتخصصات والمعلومات الأكاديمية.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هيكلة الكليات والبرامج</w:t>
      </w:r>
    </w:p>
    <w:p>
      <w:pPr>
        <w:spacing w:after="80" w:line="290" w:lineRule="auto"/>
        <w:jc w:val="right"/>
        <w:bidi w:val="1"/>
        <w:numPr>
          <w:ilvl w:val="0"/>
          <w:numId w:val="10"/>
        </w:numPr>
      </w:pPr>
      <w:r>
        <w:rPr>
          <w:rFonts w:ascii="Arial" w:hAnsi="Arial" w:eastAsia="Arial" w:cs="Arial"/>
          <w:color w:val="143044"/>
          <w:sz w:val="22"/>
          <w:rtl w:val="1"/>
        </w:rPr>
        <w:t>ملفات أكاديمية</w:t>
      </w:r>
    </w:p>
    <w:p>
      <w:pPr>
        <w:spacing w:after="80" w:line="290" w:lineRule="auto"/>
        <w:jc w:val="right"/>
        <w:bidi w:val="1"/>
        <w:numPr>
          <w:ilvl w:val="0"/>
          <w:numId w:val="10"/>
        </w:numPr>
      </w:pPr>
      <w:r>
        <w:rPr>
          <w:rFonts w:ascii="Arial" w:hAnsi="Arial" w:eastAsia="Arial" w:cs="Arial"/>
          <w:color w:val="143044"/>
          <w:sz w:val="22"/>
          <w:rtl w:val="1"/>
        </w:rPr>
        <w:t>تجربة بحث وتصفح واضحة</w:t>
      </w:r>
    </w:p>
    <w:p>
      <w:pPr>
        <w:spacing w:after="80" w:line="290" w:lineRule="auto"/>
        <w:jc w:val="right"/>
        <w:bidi w:val="1"/>
        <w:numPr>
          <w:ilvl w:val="0"/>
          <w:numId w:val="10"/>
        </w:numPr>
      </w:pPr>
      <w:r>
        <w:rPr>
          <w:rFonts w:ascii="Arial" w:hAnsi="Arial" w:eastAsia="Arial" w:cs="Arial"/>
          <w:color w:val="143044"/>
          <w:sz w:val="22"/>
          <w:rtl w:val="1"/>
        </w:rPr>
        <w:t>هيكل للكليات والأقسام والبرامج الأكاديمية</w:t>
      </w:r>
    </w:p>
    <w:p>
      <w:pPr>
        <w:spacing w:after="80" w:line="290" w:lineRule="auto"/>
        <w:jc w:val="right"/>
        <w:bidi w:val="1"/>
        <w:numPr>
          <w:ilvl w:val="0"/>
          <w:numId w:val="10"/>
        </w:numPr>
      </w:pPr>
      <w:r>
        <w:rPr>
          <w:rFonts w:ascii="Arial" w:hAnsi="Arial" w:eastAsia="Arial" w:cs="Arial"/>
          <w:color w:val="143044"/>
          <w:sz w:val="22"/>
          <w:rtl w:val="1"/>
        </w:rPr>
        <w:t>صفحات للمقررات والهيئة الأكاديمية والفرص</w:t>
      </w:r>
    </w:p>
    <w:p>
      <w:pPr>
        <w:spacing w:after="80" w:line="290" w:lineRule="auto"/>
        <w:jc w:val="right"/>
        <w:bidi w:val="1"/>
        <w:numPr>
          <w:ilvl w:val="0"/>
          <w:numId w:val="10"/>
        </w:numPr>
      </w:pPr>
      <w:r>
        <w:rPr>
          <w:rFonts w:ascii="Arial" w:hAnsi="Arial" w:eastAsia="Arial" w:cs="Arial"/>
          <w:color w:val="143044"/>
          <w:sz w:val="22"/>
          <w:rtl w:val="1"/>
        </w:rPr>
        <w:t>بحث وفلاتر لمساعدة الزائر على اختيار المسار</w:t>
      </w:r>
    </w:p>
    <w:p>
      <w:pPr>
        <w:spacing w:after="80" w:line="290" w:lineRule="auto"/>
        <w:jc w:val="right"/>
        <w:bidi w:val="1"/>
        <w:numPr>
          <w:ilvl w:val="0"/>
          <w:numId w:val="10"/>
        </w:numPr>
      </w:pPr>
      <w:r>
        <w:rPr>
          <w:rFonts w:ascii="Arial" w:hAnsi="Arial" w:eastAsia="Arial" w:cs="Arial"/>
          <w:color w:val="143044"/>
          <w:sz w:val="22"/>
          <w:rtl w:val="1"/>
        </w:rPr>
        <w:t>إدارة مركزية للمحتوى والتحديثات</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تنظيم تجربة التعلم أو الاستكشاف</w:t>
      </w:r>
    </w:p>
    <w:p>
      <w:pPr>
        <w:spacing w:after="80" w:line="290" w:lineRule="auto"/>
        <w:jc w:val="right"/>
        <w:bidi w:val="1"/>
        <w:numPr>
          <w:ilvl w:val="0"/>
          <w:numId w:val="10"/>
        </w:numPr>
      </w:pPr>
      <w:r>
        <w:rPr>
          <w:rFonts w:ascii="Arial" w:hAnsi="Arial" w:eastAsia="Arial" w:cs="Arial"/>
          <w:color w:val="143044"/>
          <w:sz w:val="22"/>
          <w:rtl w:val="1"/>
        </w:rPr>
        <w:t>تقليل الأعمال اليدوية في التسجيل والمتابعة</w:t>
      </w:r>
    </w:p>
    <w:p>
      <w:pPr>
        <w:spacing w:after="80" w:line="290" w:lineRule="auto"/>
        <w:jc w:val="right"/>
        <w:bidi w:val="1"/>
        <w:numPr>
          <w:ilvl w:val="0"/>
          <w:numId w:val="10"/>
        </w:numPr>
      </w:pPr>
      <w:r>
        <w:rPr>
          <w:rFonts w:ascii="Arial" w:hAnsi="Arial" w:eastAsia="Arial" w:cs="Arial"/>
          <w:color w:val="143044"/>
          <w:sz w:val="22"/>
          <w:rtl w:val="1"/>
        </w:rPr>
        <w:t>رفع تفاعل المتعلم وإتاحة تقارير أوضح</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جامعة تعرض كلياتها وبرامجها بوضوح</w:t>
      </w:r>
    </w:p>
    <w:p>
      <w:pPr>
        <w:spacing w:after="80" w:line="290" w:lineRule="auto"/>
        <w:jc w:val="right"/>
        <w:bidi w:val="1"/>
        <w:numPr>
          <w:ilvl w:val="0"/>
          <w:numId w:val="10"/>
        </w:numPr>
      </w:pPr>
      <w:r>
        <w:rPr>
          <w:rFonts w:ascii="Arial" w:hAnsi="Arial" w:eastAsia="Arial" w:cs="Arial"/>
          <w:color w:val="143044"/>
          <w:sz w:val="22"/>
          <w:rtl w:val="1"/>
        </w:rPr>
        <w:t>معهد يساعد المتقدمين على اختيار التخصص</w:t>
      </w:r>
    </w:p>
    <w:p>
      <w:pPr>
        <w:spacing w:after="80" w:line="290" w:lineRule="auto"/>
        <w:jc w:val="right"/>
        <w:bidi w:val="1"/>
        <w:numPr>
          <w:ilvl w:val="0"/>
          <w:numId w:val="10"/>
        </w:numPr>
      </w:pPr>
      <w:r>
        <w:rPr>
          <w:rFonts w:ascii="Arial" w:hAnsi="Arial" w:eastAsia="Arial" w:cs="Arial"/>
          <w:color w:val="143044"/>
          <w:sz w:val="22"/>
          <w:rtl w:val="1"/>
        </w:rPr>
        <w:t>مؤسسة أكاديمية تنظم معلومات الأقسام والهيئة</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r>
        <w:rPr>
          <w:rFonts w:ascii="Arial" w:hAnsi="Arial" w:eastAsia="Arial" w:cs="Arial"/>
          <w:b/>
          <w:color w:val="143044"/>
          <w:sz w:val="21"/>
          <w:rtl w:val="1"/>
        </w:rPr>
        <w:t xml:space="preserve">شاهد التطبيق على Google Play: </w:t>
      </w:r>
      <w:hyperlink r:id="rId11">
        <w:r>
          <w:rPr>
            <w:rFonts w:ascii="Arial" w:hAnsi="Arial" w:eastAsia="Arial" w:cs="Arial"/>
            <w:color w:val="0F7C86"/>
            <w:sz w:val="18"/>
            <w:szCs w:val="18"/>
            <w:u w:val="single"/>
            <w:rtl w:val="0"/>
          </w:rPr>
          <w:t>https://play.google.com/store/apps/details?id=com.alhekmalabs.aseucolleges</w:t>
        </w:r>
      </w:hyperlink>
    </w:p>
    <w:p>
      <w:pPr>
        <w:spacing w:after="100"/>
        <w:jc w:val="right"/>
        <w:bidi w:val="1"/>
      </w:pPr>
      <w:r>
        <w:rPr>
          <w:rFonts w:ascii="Arial" w:hAnsi="Arial" w:eastAsia="Arial" w:cs="Arial"/>
          <w:b/>
          <w:color w:val="143044"/>
          <w:sz w:val="21"/>
          <w:rtl w:val="1"/>
        </w:rPr>
        <w:t xml:space="preserve">تصفّح بوابة الكليات الحية: </w:t>
      </w:r>
      <w:hyperlink r:id="rId12">
        <w:r>
          <w:rPr>
            <w:rFonts w:ascii="Arial" w:hAnsi="Arial" w:eastAsia="Arial" w:cs="Arial"/>
            <w:color w:val="0F7C86"/>
            <w:sz w:val="18"/>
            <w:szCs w:val="18"/>
            <w:u w:val="single"/>
            <w:rtl w:val="0"/>
          </w:rPr>
          <w:t>https://colleges-aseu.alhekmalabs.net/</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60,000 جنيه مصري للترخيص الأساسي. ترخيص وتخصيص حسب الهيكل الأكاديمي.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3">
        <w:r>
          <w:rPr>
            <w:rFonts w:ascii="Arial" w:hAnsi="Arial" w:eastAsia="Arial" w:cs="Arial"/>
            <w:color w:val="C8932F"/>
            <w:b/>
            <w:u w:val="single"/>
            <w:rtl w:val="1"/>
          </w:rPr>
          <w:t>  شراء المنتج من المتجر</w:t>
        </w:r>
      </w:hyperlink>
    </w:p>
    <w:p>
      <w:pPr>
        <w:spacing w:after="160"/>
        <w:jc w:val="right"/>
        <w:bidi w:val="1"/>
      </w:pPr>
      <w:hyperlink r:id="rId14">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5">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بوابة الكليات والبرامج الأكاديمية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colleges" TargetMode="External"/><Relationship Id="rId12" Type="http://schemas.openxmlformats.org/officeDocument/2006/relationships/hyperlink" Target="https://colleges-aseu.alhekmalabs.net/" TargetMode="External"/><Relationship Id="rId13" Type="http://schemas.openxmlformats.org/officeDocument/2006/relationships/hyperlink" Target="https://arkanalhekma.com/checkout/colleges-academic-programs-portal/" TargetMode="External"/><Relationship Id="rId14" Type="http://schemas.openxmlformats.org/officeDocument/2006/relationships/hyperlink" Target="https://arkanalhekma.com/product/colleges-academic-programs-portal/" TargetMode="External"/><Relationship Id="rId15"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بوابة الكليات والبرامج الأكاديمية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